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FE0ED">
      <w:bookmarkStart w:id="2" w:name="_GoBack"/>
      <w:bookmarkEnd w:id="2"/>
    </w:p>
    <w:p w14:paraId="04D7F85E">
      <w:pPr>
        <w:pStyle w:val="2"/>
        <w:ind w:firstLine="480"/>
      </w:pPr>
    </w:p>
    <w:p w14:paraId="35DF730B"/>
    <w:p w14:paraId="13BDD4AB">
      <w:pPr>
        <w:spacing w:line="600" w:lineRule="exact"/>
        <w:rPr>
          <w:rFonts w:hint="eastAsia" w:ascii="黑体" w:hAnsi="宋体" w:eastAsia="黑体" w:cs="黑体"/>
          <w:color w:val="333333"/>
          <w:sz w:val="32"/>
          <w:szCs w:val="32"/>
          <w:shd w:val="clear" w:color="auto" w:fill="FFFFFF"/>
        </w:rPr>
      </w:pPr>
      <w:r>
        <w:rPr>
          <w:rFonts w:ascii="黑体" w:hAnsi="宋体" w:eastAsia="黑体" w:cs="黑体"/>
          <w:color w:val="333333"/>
          <w:sz w:val="32"/>
          <w:szCs w:val="32"/>
          <w:shd w:val="clear" w:color="auto" w:fill="FFFFFF"/>
        </w:rPr>
        <w:t>附件</w:t>
      </w:r>
    </w:p>
    <w:p w14:paraId="74944E74">
      <w:pPr>
        <w:pStyle w:val="2"/>
        <w:spacing w:line="579" w:lineRule="exact"/>
        <w:ind w:firstLine="480"/>
      </w:pPr>
    </w:p>
    <w:p w14:paraId="2D91D258">
      <w:pPr>
        <w:widowControl/>
        <w:spacing w:line="579" w:lineRule="exact"/>
        <w:jc w:val="center"/>
        <w:rPr>
          <w:rFonts w:ascii="方正小标宋简体" w:hAnsi="Times New Roman" w:eastAsia="方正小标宋简体" w:cs="Times New Roman"/>
          <w:color w:val="333333"/>
          <w:spacing w:val="-6"/>
          <w:kern w:val="0"/>
          <w:sz w:val="44"/>
          <w:szCs w:val="44"/>
          <w:shd w:val="clear" w:color="auto" w:fill="FFFFFF"/>
          <w:lang w:bidi="ar"/>
        </w:rPr>
      </w:pPr>
      <w:r>
        <w:rPr>
          <w:rFonts w:hint="eastAsia" w:ascii="方正小标宋简体" w:hAnsi="Times New Roman" w:eastAsia="方正小标宋简体" w:cs="Times New Roman"/>
          <w:color w:val="333333"/>
          <w:spacing w:val="-6"/>
          <w:kern w:val="0"/>
          <w:sz w:val="44"/>
          <w:szCs w:val="44"/>
          <w:shd w:val="clear" w:color="auto" w:fill="FFFFFF"/>
          <w:lang w:bidi="ar"/>
        </w:rPr>
        <w:t>泉州市丰泽区城东庄任片区土地征收成片开发方案（公示稿）</w:t>
      </w:r>
    </w:p>
    <w:p w14:paraId="4E3F40ED">
      <w:pPr>
        <w:pStyle w:val="2"/>
        <w:spacing w:line="579" w:lineRule="exact"/>
        <w:ind w:firstLine="480"/>
      </w:pPr>
    </w:p>
    <w:p w14:paraId="6BAA9E75">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一、编制依据</w:t>
      </w:r>
    </w:p>
    <w:p w14:paraId="0B8DF0F5">
      <w:pPr>
        <w:pStyle w:val="8"/>
        <w:widowControl/>
        <w:spacing w:beforeAutospacing="0" w:afterAutospacing="0" w:line="579" w:lineRule="exact"/>
        <w:ind w:firstLine="616"/>
        <w:jc w:val="both"/>
        <w:rPr>
          <w:rFonts w:ascii="Times New Roman" w:hAnsi="Times New Roman" w:eastAsia="仿宋_GB2312"/>
          <w:color w:val="333333"/>
          <w:spacing w:val="-6"/>
          <w:sz w:val="32"/>
          <w:szCs w:val="32"/>
          <w:shd w:val="clear" w:color="auto" w:fill="FFFFFF"/>
          <w:lang w:val="zh-CN"/>
        </w:rPr>
      </w:pPr>
      <w:r>
        <w:rPr>
          <w:rFonts w:hint="eastAsia" w:ascii="Times New Roman" w:hAnsi="Times New Roman" w:eastAsia="仿宋_GB2312"/>
          <w:color w:val="333333"/>
          <w:spacing w:val="-6"/>
          <w:sz w:val="32"/>
          <w:szCs w:val="32"/>
          <w:shd w:val="clear" w:color="auto" w:fill="FFFFFF"/>
        </w:rPr>
        <w:t>泉州市丰泽区</w:t>
      </w:r>
      <w:r>
        <w:rPr>
          <w:rFonts w:ascii="Times New Roman" w:hAnsi="Times New Roman" w:eastAsia="仿宋_GB2312"/>
          <w:color w:val="333333"/>
          <w:spacing w:val="-6"/>
          <w:sz w:val="32"/>
          <w:szCs w:val="32"/>
          <w:shd w:val="clear" w:color="auto" w:fill="FFFFFF"/>
        </w:rPr>
        <w:t>秉承公共利益优先、用地依法合规的基本原则，依据《中华人民共和国土地管理法》</w:t>
      </w:r>
      <w:r>
        <w:rPr>
          <w:rFonts w:hint="eastAsia" w:ascii="Times New Roman" w:hAnsi="Times New Roman" w:eastAsia="仿宋_GB2312"/>
          <w:color w:val="333333"/>
          <w:spacing w:val="-6"/>
          <w:sz w:val="32"/>
          <w:szCs w:val="32"/>
          <w:shd w:val="clear" w:color="auto" w:fill="FFFFFF"/>
        </w:rPr>
        <w:t>、</w:t>
      </w:r>
      <w:r>
        <w:rPr>
          <w:rFonts w:ascii="Times New Roman" w:hAnsi="Times New Roman" w:eastAsia="仿宋_GB2312"/>
          <w:color w:val="333333"/>
          <w:spacing w:val="-6"/>
          <w:sz w:val="32"/>
          <w:szCs w:val="32"/>
          <w:shd w:val="clear" w:color="auto" w:fill="FFFFFF"/>
        </w:rPr>
        <w:t>《自然资源部关于印发〈土地征收成片开发标准〉的通知》（自然资规〔2023〕7号）等相关政策文件</w:t>
      </w:r>
      <w:r>
        <w:rPr>
          <w:rFonts w:ascii="Times New Roman" w:hAnsi="Times New Roman" w:eastAsia="仿宋_GB2312"/>
          <w:color w:val="333333"/>
          <w:spacing w:val="-6"/>
          <w:sz w:val="32"/>
          <w:szCs w:val="32"/>
          <w:shd w:val="clear" w:color="auto" w:fill="FFFFFF"/>
          <w:lang w:val="zh-CN"/>
        </w:rPr>
        <w:t>，编制《</w:t>
      </w:r>
      <w:r>
        <w:rPr>
          <w:rFonts w:hint="eastAsia" w:ascii="Times New Roman" w:hAnsi="Times New Roman" w:eastAsia="仿宋_GB2312"/>
          <w:color w:val="333333"/>
          <w:spacing w:val="-6"/>
          <w:sz w:val="32"/>
          <w:szCs w:val="32"/>
          <w:shd w:val="clear" w:color="auto" w:fill="FFFFFF"/>
        </w:rPr>
        <w:t>泉州市丰泽区城东庄任</w:t>
      </w:r>
      <w:r>
        <w:rPr>
          <w:rFonts w:hint="eastAsia" w:ascii="Times New Roman" w:hAnsi="Times New Roman" w:eastAsia="仿宋_GB2312"/>
          <w:color w:val="333333"/>
          <w:spacing w:val="-6"/>
          <w:sz w:val="32"/>
          <w:szCs w:val="32"/>
          <w:shd w:val="clear" w:color="auto" w:fill="FFFFFF"/>
          <w:lang w:val="zh-CN"/>
        </w:rPr>
        <w:t>片区</w:t>
      </w:r>
      <w:r>
        <w:rPr>
          <w:rFonts w:ascii="Times New Roman" w:hAnsi="Times New Roman" w:eastAsia="仿宋_GB2312"/>
          <w:color w:val="333333"/>
          <w:spacing w:val="-6"/>
          <w:sz w:val="32"/>
          <w:szCs w:val="32"/>
          <w:shd w:val="clear" w:color="auto" w:fill="FFFFFF"/>
        </w:rPr>
        <w:t>土地征收成片开发方</w:t>
      </w:r>
      <w:r>
        <w:rPr>
          <w:rFonts w:hint="eastAsia" w:ascii="Times New Roman" w:hAnsi="Times New Roman" w:eastAsia="仿宋_GB2312"/>
          <w:color w:val="333333"/>
          <w:spacing w:val="-6"/>
          <w:sz w:val="32"/>
          <w:szCs w:val="32"/>
          <w:shd w:val="clear" w:color="auto" w:fill="FFFFFF"/>
        </w:rPr>
        <w:t>案</w:t>
      </w:r>
      <w:r>
        <w:rPr>
          <w:rFonts w:hint="eastAsia" w:ascii="Times New Roman" w:hAnsi="Times New Roman" w:eastAsia="仿宋_GB2312"/>
          <w:color w:val="333333"/>
          <w:spacing w:val="-6"/>
          <w:sz w:val="32"/>
          <w:szCs w:val="32"/>
          <w:shd w:val="clear" w:color="auto" w:fill="FFFFFF"/>
          <w:lang w:val="zh-CN"/>
        </w:rPr>
        <w:t>》。</w:t>
      </w:r>
    </w:p>
    <w:p w14:paraId="5F61A39F">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二、基本情况</w:t>
      </w:r>
    </w:p>
    <w:p w14:paraId="3FCEE294">
      <w:pPr>
        <w:pStyle w:val="5"/>
        <w:widowControl/>
        <w:spacing w:line="579" w:lineRule="exact"/>
        <w:ind w:firstLine="560"/>
        <w:rPr>
          <w:rFonts w:ascii="Times New Roman" w:hAnsi="Times New Roman" w:eastAsia="仿宋_GB2312" w:cs="Times New Roman"/>
          <w:color w:val="333333"/>
          <w:spacing w:val="-6"/>
          <w:kern w:val="0"/>
          <w:sz w:val="32"/>
          <w:szCs w:val="32"/>
          <w:shd w:val="clear" w:color="auto" w:fill="FFFFFF"/>
          <w:lang w:bidi="ar"/>
        </w:rPr>
      </w:pPr>
      <w:r>
        <w:rPr>
          <w:rFonts w:ascii="Times New Roman" w:hAnsi="Times New Roman" w:eastAsia="仿宋_GB2312" w:cs="Times New Roman"/>
          <w:color w:val="333333"/>
          <w:spacing w:val="-6"/>
          <w:kern w:val="0"/>
          <w:sz w:val="32"/>
          <w:szCs w:val="32"/>
          <w:shd w:val="clear" w:color="auto" w:fill="FFFFFF"/>
          <w:lang w:bidi="ar"/>
        </w:rPr>
        <w:t>本次</w:t>
      </w:r>
      <w:r>
        <w:rPr>
          <w:rFonts w:ascii="Times New Roman" w:hAnsi="Times New Roman" w:eastAsia="仿宋_GB2312" w:cs="Times New Roman"/>
          <w:color w:val="333333"/>
          <w:spacing w:val="-6"/>
          <w:kern w:val="0"/>
          <w:sz w:val="32"/>
          <w:szCs w:val="32"/>
          <w:shd w:val="clear" w:color="auto" w:fill="FFFFFF"/>
          <w:lang w:val="zh-CN" w:bidi="ar"/>
        </w:rPr>
        <w:t>成片开发</w:t>
      </w:r>
      <w:r>
        <w:rPr>
          <w:rFonts w:ascii="Times New Roman" w:hAnsi="Times New Roman" w:eastAsia="仿宋_GB2312" w:cs="Times New Roman"/>
          <w:color w:val="333333"/>
          <w:spacing w:val="-6"/>
          <w:kern w:val="0"/>
          <w:sz w:val="32"/>
          <w:szCs w:val="32"/>
          <w:shd w:val="clear" w:color="auto" w:fill="FFFFFF"/>
          <w:lang w:bidi="ar"/>
        </w:rPr>
        <w:t>位于</w:t>
      </w:r>
      <w:r>
        <w:rPr>
          <w:rFonts w:hint="eastAsia" w:ascii="Times New Roman" w:hAnsi="Times New Roman" w:eastAsia="仿宋_GB2312" w:cs="Times New Roman"/>
          <w:spacing w:val="-6"/>
          <w:kern w:val="0"/>
          <w:sz w:val="32"/>
          <w:szCs w:val="32"/>
          <w:shd w:val="clear" w:color="auto" w:fill="FFFFFF"/>
          <w:lang w:bidi="ar"/>
        </w:rPr>
        <w:t>位于</w:t>
      </w:r>
      <w:r>
        <w:rPr>
          <w:rFonts w:hint="eastAsia" w:ascii="仿宋_GB2312" w:hAnsi="微软雅黑" w:eastAsia="仿宋_GB2312" w:cs="仿宋_GB2312"/>
          <w:color w:val="333333"/>
          <w:spacing w:val="-6"/>
          <w:kern w:val="0"/>
          <w:sz w:val="32"/>
          <w:szCs w:val="32"/>
          <w:shd w:val="clear" w:color="auto" w:fill="FFFFFF"/>
          <w:lang w:bidi="ar"/>
        </w:rPr>
        <w:t>泉州市丰泽区城东街道庄任社区</w:t>
      </w:r>
      <w:r>
        <w:rPr>
          <w:rFonts w:ascii="Times New Roman" w:hAnsi="Times New Roman" w:eastAsia="仿宋_GB2312" w:cs="Times New Roman"/>
          <w:spacing w:val="-6"/>
          <w:kern w:val="0"/>
          <w:sz w:val="32"/>
          <w:szCs w:val="32"/>
          <w:shd w:val="clear" w:color="auto" w:fill="FFFFFF"/>
          <w:lang w:bidi="ar"/>
        </w:rPr>
        <w:t>，</w:t>
      </w:r>
      <w:r>
        <w:rPr>
          <w:rFonts w:ascii="Times New Roman" w:hAnsi="Times New Roman" w:eastAsia="仿宋_GB2312" w:cs="Times New Roman"/>
          <w:color w:val="333333"/>
          <w:spacing w:val="-6"/>
          <w:kern w:val="0"/>
          <w:sz w:val="32"/>
          <w:szCs w:val="32"/>
          <w:shd w:val="clear" w:color="auto" w:fill="FFFFFF"/>
          <w:lang w:val="zh-CN" w:bidi="ar"/>
        </w:rPr>
        <w:t>成片开发</w:t>
      </w:r>
      <w:r>
        <w:rPr>
          <w:rFonts w:ascii="Times New Roman" w:hAnsi="Times New Roman" w:eastAsia="仿宋_GB2312" w:cs="Times New Roman"/>
          <w:color w:val="333333"/>
          <w:spacing w:val="-6"/>
          <w:kern w:val="0"/>
          <w:sz w:val="32"/>
          <w:szCs w:val="32"/>
          <w:shd w:val="clear" w:color="auto" w:fill="FFFFFF"/>
          <w:lang w:bidi="ar"/>
        </w:rPr>
        <w:t>总面积</w:t>
      </w:r>
      <w:r>
        <w:rPr>
          <w:rFonts w:hint="eastAsia" w:ascii="Times New Roman" w:hAnsi="Times New Roman" w:eastAsia="仿宋_GB2312" w:cs="Times New Roman"/>
          <w:color w:val="333333"/>
          <w:spacing w:val="-6"/>
          <w:kern w:val="0"/>
          <w:sz w:val="32"/>
          <w:szCs w:val="32"/>
          <w:shd w:val="clear" w:color="auto" w:fill="FFFFFF"/>
          <w:lang w:bidi="ar"/>
        </w:rPr>
        <w:t>6.1105</w:t>
      </w:r>
      <w:r>
        <w:rPr>
          <w:rFonts w:ascii="Times New Roman" w:hAnsi="Times New Roman" w:eastAsia="仿宋_GB2312" w:cs="Times New Roman"/>
          <w:color w:val="333333"/>
          <w:spacing w:val="-6"/>
          <w:kern w:val="0"/>
          <w:sz w:val="32"/>
          <w:szCs w:val="32"/>
          <w:shd w:val="clear" w:color="auto" w:fill="FFFFFF"/>
          <w:lang w:bidi="ar"/>
        </w:rPr>
        <w:t>公顷。范围</w:t>
      </w:r>
      <w:r>
        <w:rPr>
          <w:rFonts w:hint="eastAsia" w:ascii="仿宋_GB2312" w:hAnsi="微软雅黑" w:eastAsia="仿宋_GB2312" w:cs="仿宋_GB2312"/>
          <w:color w:val="333333"/>
          <w:spacing w:val="-6"/>
          <w:kern w:val="0"/>
          <w:sz w:val="32"/>
          <w:szCs w:val="32"/>
          <w:shd w:val="clear" w:color="auto" w:fill="FFFFFF"/>
          <w:lang w:bidi="ar"/>
        </w:rPr>
        <w:t>东至安顺路、西至沈海高速、南至城东街，北至城华北路</w:t>
      </w:r>
      <w:r>
        <w:rPr>
          <w:rFonts w:ascii="Times New Roman" w:hAnsi="Times New Roman" w:eastAsia="仿宋_GB2312" w:cs="Times New Roman"/>
          <w:color w:val="333333"/>
          <w:spacing w:val="-6"/>
          <w:kern w:val="0"/>
          <w:sz w:val="32"/>
          <w:szCs w:val="32"/>
          <w:shd w:val="clear" w:color="auto" w:fill="FFFFFF"/>
          <w:lang w:bidi="ar"/>
        </w:rPr>
        <w:t>，共计1个</w:t>
      </w:r>
      <w:r>
        <w:rPr>
          <w:rFonts w:hint="eastAsia" w:ascii="Times New Roman" w:hAnsi="Times New Roman" w:eastAsia="仿宋_GB2312" w:cs="Times New Roman"/>
          <w:color w:val="333333"/>
          <w:spacing w:val="-6"/>
          <w:kern w:val="0"/>
          <w:sz w:val="32"/>
          <w:szCs w:val="32"/>
          <w:shd w:val="clear" w:color="auto" w:fill="FFFFFF"/>
          <w:lang w:bidi="ar"/>
        </w:rPr>
        <w:t>街道</w:t>
      </w:r>
      <w:r>
        <w:rPr>
          <w:rFonts w:ascii="Times New Roman" w:hAnsi="Times New Roman" w:eastAsia="仿宋_GB2312" w:cs="Times New Roman"/>
          <w:color w:val="333333"/>
          <w:spacing w:val="-6"/>
          <w:kern w:val="0"/>
          <w:sz w:val="32"/>
          <w:szCs w:val="32"/>
          <w:shd w:val="clear" w:color="auto" w:fill="FFFFFF"/>
          <w:lang w:bidi="ar"/>
        </w:rPr>
        <w:t>1个</w:t>
      </w:r>
      <w:r>
        <w:rPr>
          <w:rFonts w:hint="eastAsia" w:ascii="Times New Roman" w:hAnsi="Times New Roman" w:eastAsia="仿宋_GB2312" w:cs="Times New Roman"/>
          <w:color w:val="333333"/>
          <w:spacing w:val="-6"/>
          <w:kern w:val="0"/>
          <w:sz w:val="32"/>
          <w:szCs w:val="32"/>
          <w:shd w:val="clear" w:color="auto" w:fill="FFFFFF"/>
          <w:lang w:bidi="ar"/>
        </w:rPr>
        <w:t>社区</w:t>
      </w:r>
      <w:r>
        <w:rPr>
          <w:rFonts w:ascii="Times New Roman" w:hAnsi="Times New Roman" w:eastAsia="仿宋_GB2312" w:cs="Times New Roman"/>
          <w:color w:val="333333"/>
          <w:spacing w:val="-6"/>
          <w:kern w:val="0"/>
          <w:sz w:val="32"/>
          <w:szCs w:val="32"/>
          <w:shd w:val="clear" w:color="auto" w:fill="FFFFFF"/>
          <w:lang w:bidi="ar"/>
        </w:rPr>
        <w:t>。</w:t>
      </w:r>
    </w:p>
    <w:p w14:paraId="7ED71D1B">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三、成片开发必要性</w:t>
      </w:r>
    </w:p>
    <w:p w14:paraId="1D8490BE">
      <w:pPr>
        <w:pStyle w:val="8"/>
        <w:widowControl/>
        <w:spacing w:beforeAutospacing="0" w:afterAutospacing="0" w:line="579" w:lineRule="exact"/>
        <w:ind w:firstLine="616"/>
        <w:jc w:val="both"/>
        <w:rPr>
          <w:rFonts w:hint="eastAsia" w:ascii="仿宋_GB2312" w:hAnsi="微软雅黑" w:eastAsia="仿宋_GB2312" w:cs="仿宋_GB2312"/>
          <w:color w:val="333333"/>
          <w:spacing w:val="-6"/>
          <w:sz w:val="32"/>
          <w:szCs w:val="32"/>
          <w:shd w:val="clear" w:color="auto" w:fill="FFFFFF"/>
        </w:rPr>
      </w:pPr>
      <w:r>
        <w:rPr>
          <w:rFonts w:hint="eastAsia" w:ascii="仿宋_GB2312" w:hAnsi="微软雅黑" w:eastAsia="仿宋_GB2312" w:cs="仿宋_GB2312"/>
          <w:color w:val="333333"/>
          <w:spacing w:val="-6"/>
          <w:sz w:val="32"/>
          <w:szCs w:val="32"/>
          <w:shd w:val="clear" w:color="auto" w:fill="FFFFFF"/>
        </w:rPr>
        <w:t>本方案的实施可提升本片区城市品质，改善城市面貌，增强城东片区宜居度和承载力，加速环湾聚核，提升泉州环湾中心城市首位度，使城东片区加速形成配套设施完善、交通便捷、宜居宜业的城市新区。</w:t>
      </w:r>
    </w:p>
    <w:p w14:paraId="01B18D4A">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四、规划土地用途分析</w:t>
      </w:r>
    </w:p>
    <w:p w14:paraId="1385EF35">
      <w:pPr>
        <w:pStyle w:val="8"/>
        <w:widowControl/>
        <w:spacing w:beforeAutospacing="0" w:afterAutospacing="0" w:line="579" w:lineRule="exact"/>
        <w:ind w:firstLine="616"/>
        <w:jc w:val="both"/>
        <w:rPr>
          <w:rFonts w:hint="eastAsia" w:ascii="仿宋_GB2312" w:hAnsi="微软雅黑" w:eastAsia="仿宋_GB2312" w:cs="仿宋_GB2312"/>
          <w:color w:val="333333"/>
          <w:spacing w:val="-6"/>
          <w:sz w:val="32"/>
          <w:szCs w:val="32"/>
          <w:shd w:val="clear" w:color="auto" w:fill="FFFFFF"/>
          <w:lang w:val="zh-CN"/>
        </w:rPr>
      </w:pPr>
      <w:r>
        <w:rPr>
          <w:rFonts w:ascii="Times New Roman" w:hAnsi="Times New Roman" w:eastAsia="仿宋_GB2312"/>
          <w:color w:val="333333"/>
          <w:spacing w:val="-6"/>
          <w:sz w:val="32"/>
          <w:szCs w:val="32"/>
          <w:shd w:val="clear" w:color="auto" w:fill="FFFFFF"/>
          <w:lang w:val="zh-CN"/>
        </w:rPr>
        <w:t>本次成片开发</w:t>
      </w:r>
      <w:r>
        <w:rPr>
          <w:rFonts w:ascii="Times New Roman" w:hAnsi="Times New Roman" w:eastAsia="仿宋_GB2312"/>
          <w:color w:val="333333"/>
          <w:spacing w:val="-6"/>
          <w:sz w:val="32"/>
          <w:szCs w:val="32"/>
          <w:shd w:val="clear" w:color="auto" w:fill="FFFFFF"/>
        </w:rPr>
        <w:t>总面积</w:t>
      </w:r>
      <w:r>
        <w:rPr>
          <w:rFonts w:hint="eastAsia" w:ascii="Times New Roman" w:hAnsi="Times New Roman" w:eastAsia="仿宋_GB2312"/>
          <w:color w:val="333333"/>
          <w:spacing w:val="-6"/>
          <w:sz w:val="32"/>
          <w:szCs w:val="32"/>
          <w:shd w:val="clear" w:color="auto" w:fill="FFFFFF"/>
        </w:rPr>
        <w:t>6.1105</w:t>
      </w:r>
      <w:r>
        <w:rPr>
          <w:rFonts w:ascii="Times New Roman" w:hAnsi="Times New Roman" w:eastAsia="仿宋_GB2312"/>
          <w:color w:val="333333"/>
          <w:spacing w:val="-6"/>
          <w:sz w:val="32"/>
          <w:szCs w:val="32"/>
          <w:shd w:val="clear" w:color="auto" w:fill="FFFFFF"/>
        </w:rPr>
        <w:t>公顷，</w:t>
      </w:r>
      <w:r>
        <w:rPr>
          <w:rFonts w:ascii="Times New Roman" w:hAnsi="Times New Roman" w:eastAsia="仿宋_GB2312"/>
          <w:color w:val="333333"/>
          <w:spacing w:val="-6"/>
          <w:sz w:val="32"/>
          <w:szCs w:val="32"/>
          <w:shd w:val="clear" w:color="auto" w:fill="FFFFFF"/>
          <w:lang w:val="zh-CN"/>
        </w:rPr>
        <w:t>主要</w:t>
      </w:r>
      <w:r>
        <w:rPr>
          <w:rFonts w:ascii="Times New Roman" w:hAnsi="Times New Roman" w:eastAsia="仿宋_GB2312"/>
          <w:color w:val="333333"/>
          <w:spacing w:val="-6"/>
          <w:sz w:val="32"/>
          <w:szCs w:val="32"/>
          <w:shd w:val="clear" w:color="auto" w:fill="FFFFFF"/>
        </w:rPr>
        <w:t>规划</w:t>
      </w:r>
      <w:r>
        <w:rPr>
          <w:rFonts w:ascii="Times New Roman" w:hAnsi="Times New Roman" w:eastAsia="仿宋_GB2312"/>
          <w:color w:val="333333"/>
          <w:spacing w:val="-6"/>
          <w:sz w:val="32"/>
          <w:szCs w:val="32"/>
          <w:shd w:val="clear" w:color="auto" w:fill="FFFFFF"/>
          <w:lang w:val="zh-CN"/>
        </w:rPr>
        <w:t>为</w:t>
      </w:r>
      <w:r>
        <w:rPr>
          <w:rFonts w:hint="eastAsia" w:ascii="Times New Roman" w:hAnsi="Times New Roman" w:eastAsia="仿宋_GB2312"/>
          <w:color w:val="333333"/>
          <w:spacing w:val="-6"/>
          <w:sz w:val="32"/>
          <w:szCs w:val="32"/>
          <w:shd w:val="clear" w:color="auto" w:fill="FFFFFF"/>
        </w:rPr>
        <w:t>居住</w:t>
      </w:r>
      <w:r>
        <w:rPr>
          <w:rFonts w:ascii="Times New Roman" w:hAnsi="Times New Roman" w:eastAsia="仿宋_GB2312"/>
          <w:color w:val="333333"/>
          <w:spacing w:val="-6"/>
          <w:sz w:val="32"/>
          <w:szCs w:val="32"/>
          <w:shd w:val="clear" w:color="auto" w:fill="FFFFFF"/>
          <w:lang w:val="zh-CN"/>
        </w:rPr>
        <w:t>用地。</w:t>
      </w:r>
      <w:r>
        <w:rPr>
          <w:rFonts w:ascii="Times New Roman" w:hAnsi="Times New Roman" w:eastAsia="仿宋_GB2312"/>
          <w:color w:val="333333"/>
          <w:spacing w:val="-6"/>
          <w:sz w:val="32"/>
          <w:szCs w:val="32"/>
          <w:shd w:val="clear" w:color="auto" w:fill="FFFFFF"/>
        </w:rPr>
        <w:t>其中：</w:t>
      </w:r>
      <w:r>
        <w:rPr>
          <w:rFonts w:hint="eastAsia" w:ascii="Times New Roman" w:hAnsi="Times New Roman" w:eastAsia="仿宋_GB2312"/>
          <w:color w:val="333333"/>
          <w:spacing w:val="-6"/>
          <w:sz w:val="32"/>
          <w:szCs w:val="32"/>
          <w:shd w:val="clear" w:color="auto" w:fill="FFFFFF"/>
        </w:rPr>
        <w:t>居住</w:t>
      </w:r>
      <w:r>
        <w:rPr>
          <w:rFonts w:ascii="Times New Roman" w:hAnsi="Times New Roman" w:eastAsia="仿宋_GB2312"/>
          <w:color w:val="333333"/>
          <w:spacing w:val="-6"/>
          <w:sz w:val="32"/>
          <w:szCs w:val="32"/>
          <w:shd w:val="clear" w:color="auto" w:fill="FFFFFF"/>
        </w:rPr>
        <w:t>用地面积</w:t>
      </w:r>
      <w:r>
        <w:rPr>
          <w:rFonts w:hint="eastAsia" w:ascii="Times New Roman" w:hAnsi="Times New Roman" w:eastAsia="仿宋_GB2312"/>
          <w:color w:val="333333"/>
          <w:spacing w:val="-6"/>
          <w:sz w:val="32"/>
          <w:szCs w:val="32"/>
          <w:shd w:val="clear" w:color="auto" w:fill="FFFFFF"/>
        </w:rPr>
        <w:t>1.3437</w:t>
      </w:r>
      <w:r>
        <w:rPr>
          <w:rFonts w:ascii="Times New Roman" w:hAnsi="Times New Roman" w:eastAsia="仿宋_GB2312"/>
          <w:color w:val="333333"/>
          <w:spacing w:val="-6"/>
          <w:sz w:val="32"/>
          <w:szCs w:val="32"/>
          <w:shd w:val="clear" w:color="auto" w:fill="FFFFFF"/>
        </w:rPr>
        <w:t>公顷，</w:t>
      </w:r>
      <w:r>
        <w:rPr>
          <w:rFonts w:hint="eastAsia" w:ascii="Times New Roman" w:hAnsi="Times New Roman" w:eastAsia="仿宋_GB2312"/>
          <w:color w:val="333333"/>
          <w:spacing w:val="-6"/>
          <w:sz w:val="32"/>
          <w:szCs w:val="32"/>
          <w:shd w:val="clear" w:color="auto" w:fill="FFFFFF"/>
        </w:rPr>
        <w:t>公用设施用地0.0054公顷，公共管理与公共服务用地1.9821公顷，</w:t>
      </w:r>
      <w:r>
        <w:rPr>
          <w:rFonts w:ascii="Times New Roman" w:hAnsi="Times New Roman" w:eastAsia="仿宋_GB2312"/>
          <w:color w:val="333333"/>
          <w:spacing w:val="-6"/>
          <w:sz w:val="32"/>
          <w:szCs w:val="32"/>
          <w:shd w:val="clear" w:color="auto" w:fill="FFFFFF"/>
        </w:rPr>
        <w:t>交通运输用地面积</w:t>
      </w:r>
      <w:r>
        <w:rPr>
          <w:rFonts w:hint="eastAsia" w:ascii="Times New Roman" w:hAnsi="Times New Roman" w:eastAsia="仿宋_GB2312"/>
          <w:color w:val="333333"/>
          <w:spacing w:val="-6"/>
          <w:sz w:val="32"/>
          <w:szCs w:val="32"/>
          <w:shd w:val="clear" w:color="auto" w:fill="FFFFFF"/>
        </w:rPr>
        <w:t>0.6502</w:t>
      </w:r>
      <w:r>
        <w:rPr>
          <w:rFonts w:ascii="Times New Roman" w:hAnsi="Times New Roman" w:eastAsia="仿宋_GB2312"/>
          <w:color w:val="333333"/>
          <w:spacing w:val="-6"/>
          <w:sz w:val="32"/>
          <w:szCs w:val="32"/>
          <w:shd w:val="clear" w:color="auto" w:fill="FFFFFF"/>
        </w:rPr>
        <w:t>公顷，绿地与开敞空间用地面积</w:t>
      </w:r>
      <w:r>
        <w:rPr>
          <w:rFonts w:hint="eastAsia" w:ascii="Times New Roman" w:hAnsi="Times New Roman" w:eastAsia="仿宋_GB2312"/>
          <w:color w:val="333333"/>
          <w:spacing w:val="-6"/>
          <w:sz w:val="32"/>
          <w:szCs w:val="32"/>
          <w:shd w:val="clear" w:color="auto" w:fill="FFFFFF"/>
        </w:rPr>
        <w:t>2.1291</w:t>
      </w:r>
      <w:r>
        <w:rPr>
          <w:rFonts w:ascii="Times New Roman" w:hAnsi="Times New Roman" w:eastAsia="仿宋_GB2312"/>
          <w:color w:val="333333"/>
          <w:spacing w:val="-6"/>
          <w:sz w:val="32"/>
          <w:szCs w:val="32"/>
          <w:shd w:val="clear" w:color="auto" w:fill="FFFFFF"/>
        </w:rPr>
        <w:t>公顷</w:t>
      </w:r>
      <w:r>
        <w:rPr>
          <w:rFonts w:hint="eastAsia" w:ascii="仿宋_GB2312" w:hAnsi="微软雅黑" w:eastAsia="仿宋_GB2312" w:cs="仿宋_GB2312"/>
          <w:color w:val="333333"/>
          <w:spacing w:val="-6"/>
          <w:sz w:val="32"/>
          <w:szCs w:val="32"/>
          <w:shd w:val="clear" w:color="auto" w:fill="FFFFFF"/>
        </w:rPr>
        <w:t>。</w:t>
      </w:r>
    </w:p>
    <w:p w14:paraId="143674E3">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五、公益性用地情况</w:t>
      </w:r>
    </w:p>
    <w:p w14:paraId="082EEE87">
      <w:pPr>
        <w:pStyle w:val="8"/>
        <w:widowControl/>
        <w:spacing w:beforeAutospacing="0" w:afterAutospacing="0" w:line="579" w:lineRule="exact"/>
        <w:ind w:firstLine="616"/>
        <w:jc w:val="both"/>
        <w:rPr>
          <w:rFonts w:ascii="Times New Roman" w:hAnsi="Times New Roman" w:eastAsia="仿宋_GB2312"/>
          <w:color w:val="333333"/>
          <w:spacing w:val="-6"/>
          <w:sz w:val="32"/>
          <w:szCs w:val="32"/>
          <w:shd w:val="clear" w:color="auto" w:fill="FFFFFF"/>
        </w:rPr>
      </w:pPr>
      <w:bookmarkStart w:id="0" w:name="_Toc25742"/>
      <w:bookmarkStart w:id="1" w:name="_Toc14732"/>
      <w:r>
        <w:rPr>
          <w:rFonts w:ascii="Times New Roman" w:hAnsi="Times New Roman" w:eastAsia="仿宋_GB2312"/>
          <w:color w:val="333333"/>
          <w:spacing w:val="-6"/>
          <w:sz w:val="32"/>
          <w:szCs w:val="32"/>
          <w:shd w:val="clear" w:color="auto" w:fill="FFFFFF"/>
        </w:rPr>
        <w:t>本次成片开发规划公益性用地，包括</w:t>
      </w:r>
      <w:r>
        <w:rPr>
          <w:rFonts w:hint="eastAsia" w:ascii="Times New Roman" w:hAnsi="Times New Roman" w:eastAsia="仿宋_GB2312"/>
          <w:color w:val="333333"/>
          <w:spacing w:val="-6"/>
          <w:sz w:val="32"/>
          <w:szCs w:val="32"/>
          <w:shd w:val="clear" w:color="auto" w:fill="FFFFFF"/>
        </w:rPr>
        <w:t>环卫用地、教育用地、</w:t>
      </w:r>
      <w:r>
        <w:rPr>
          <w:rFonts w:ascii="Times New Roman" w:hAnsi="Times New Roman" w:eastAsia="仿宋_GB2312"/>
          <w:color w:val="333333"/>
          <w:spacing w:val="-6"/>
          <w:sz w:val="32"/>
          <w:szCs w:val="32"/>
          <w:shd w:val="clear" w:color="auto" w:fill="FFFFFF"/>
        </w:rPr>
        <w:t>防护绿地、城镇村道路用地</w:t>
      </w:r>
      <w:r>
        <w:rPr>
          <w:rFonts w:hint="eastAsia" w:ascii="Times New Roman" w:hAnsi="Times New Roman" w:eastAsia="仿宋_GB2312"/>
          <w:color w:val="333333"/>
          <w:spacing w:val="-6"/>
          <w:sz w:val="32"/>
          <w:szCs w:val="32"/>
          <w:shd w:val="clear" w:color="auto" w:fill="FFFFFF"/>
        </w:rPr>
        <w:t>4</w:t>
      </w:r>
      <w:r>
        <w:rPr>
          <w:rFonts w:ascii="Times New Roman" w:hAnsi="Times New Roman" w:eastAsia="仿宋_GB2312"/>
          <w:color w:val="333333"/>
          <w:spacing w:val="-6"/>
          <w:sz w:val="32"/>
          <w:szCs w:val="32"/>
          <w:shd w:val="clear" w:color="auto" w:fill="FFFFFF"/>
        </w:rPr>
        <w:t>类，面积合计</w:t>
      </w:r>
      <w:r>
        <w:rPr>
          <w:rFonts w:hint="eastAsia" w:ascii="Times New Roman" w:hAnsi="Times New Roman" w:eastAsia="仿宋_GB2312"/>
          <w:color w:val="333333"/>
          <w:spacing w:val="-6"/>
          <w:sz w:val="32"/>
          <w:szCs w:val="32"/>
          <w:shd w:val="clear" w:color="auto" w:fill="FFFFFF"/>
        </w:rPr>
        <w:t>4.7668</w:t>
      </w:r>
      <w:r>
        <w:rPr>
          <w:rFonts w:ascii="Times New Roman" w:hAnsi="Times New Roman" w:eastAsia="仿宋_GB2312"/>
          <w:color w:val="333333"/>
          <w:spacing w:val="-6"/>
          <w:sz w:val="32"/>
          <w:szCs w:val="32"/>
          <w:shd w:val="clear" w:color="auto" w:fill="FFFFFF"/>
        </w:rPr>
        <w:t>公顷，占用地总面积的</w:t>
      </w:r>
      <w:r>
        <w:rPr>
          <w:rFonts w:hint="eastAsia" w:ascii="Times New Roman" w:hAnsi="Times New Roman" w:eastAsia="仿宋_GB2312"/>
          <w:color w:val="333333"/>
          <w:spacing w:val="-6"/>
          <w:sz w:val="32"/>
          <w:szCs w:val="32"/>
          <w:shd w:val="clear" w:color="auto" w:fill="FFFFFF"/>
        </w:rPr>
        <w:t>78.00</w:t>
      </w:r>
      <w:r>
        <w:rPr>
          <w:rFonts w:ascii="Times New Roman" w:hAnsi="Times New Roman" w:eastAsia="仿宋_GB2312"/>
          <w:color w:val="333333"/>
          <w:spacing w:val="-6"/>
          <w:sz w:val="32"/>
          <w:szCs w:val="32"/>
          <w:shd w:val="clear" w:color="auto" w:fill="FFFFFF"/>
        </w:rPr>
        <w:t>%，符合《自然资源部关于印发〈土地征收成片开发标准〉的通知》（自然资规〔2023〕7号）公益性用地占比一般不低于40%的规定。</w:t>
      </w:r>
      <w:bookmarkEnd w:id="0"/>
      <w:bookmarkEnd w:id="1"/>
    </w:p>
    <w:p w14:paraId="0B815E27">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六、规划符合情况</w:t>
      </w:r>
    </w:p>
    <w:p w14:paraId="7D05BEFA">
      <w:pPr>
        <w:widowControl/>
        <w:spacing w:line="579" w:lineRule="exact"/>
        <w:ind w:firstLine="616" w:firstLineChars="200"/>
        <w:jc w:val="left"/>
        <w:rPr>
          <w:kern w:val="0"/>
          <w:szCs w:val="28"/>
        </w:rPr>
      </w:pPr>
      <w:r>
        <w:rPr>
          <w:rFonts w:hint="eastAsia" w:ascii="仿宋_GB2312" w:hAnsi="微软雅黑" w:eastAsia="仿宋_GB2312" w:cs="仿宋_GB2312"/>
          <w:color w:val="333333"/>
          <w:spacing w:val="-6"/>
          <w:kern w:val="0"/>
          <w:sz w:val="32"/>
          <w:szCs w:val="32"/>
          <w:shd w:val="clear" w:color="auto" w:fill="FFFFFF"/>
          <w:lang w:bidi="ar"/>
        </w:rPr>
        <w:t>本次成片开发方案位于国土空间规划确定的城镇建设用地范围内，本次成片开发符合泉州市丰泽区现行国民经济和社会发展规划的发展定位和要求，有利于加快现行国民经济和社会发展规划目标、任务的完成，方案已纳入泉州市丰泽区国民经济和社会发展年度计划</w:t>
      </w:r>
      <w:r>
        <w:rPr>
          <w:rFonts w:ascii="仿宋_GB2312" w:hAnsi="微软雅黑" w:eastAsia="仿宋_GB2312" w:cs="仿宋_GB2312"/>
          <w:color w:val="333333"/>
          <w:spacing w:val="-6"/>
          <w:kern w:val="0"/>
          <w:sz w:val="32"/>
          <w:szCs w:val="32"/>
          <w:shd w:val="clear" w:color="auto" w:fill="FFFFFF"/>
          <w:lang w:bidi="ar"/>
        </w:rPr>
        <w:t>；成片开发范围</w:t>
      </w:r>
      <w:r>
        <w:rPr>
          <w:rFonts w:hint="eastAsia" w:ascii="仿宋_GB2312" w:hAnsi="微软雅黑" w:eastAsia="仿宋_GB2312" w:cs="仿宋_GB2312"/>
          <w:color w:val="333333"/>
          <w:spacing w:val="-6"/>
          <w:kern w:val="0"/>
          <w:sz w:val="32"/>
          <w:szCs w:val="32"/>
          <w:shd w:val="clear" w:color="auto" w:fill="FFFFFF"/>
          <w:lang w:bidi="ar"/>
        </w:rPr>
        <w:t>不涉及占用永久基本农田、生态保护红线、饮用水水源保护区等其他法律法规规定不允许占用或开发的区域，</w:t>
      </w:r>
      <w:r>
        <w:rPr>
          <w:rFonts w:ascii="仿宋_GB2312" w:hAnsi="微软雅黑" w:eastAsia="仿宋_GB2312" w:cs="仿宋_GB2312"/>
          <w:color w:val="333333"/>
          <w:spacing w:val="-6"/>
          <w:kern w:val="0"/>
          <w:sz w:val="32"/>
          <w:szCs w:val="32"/>
          <w:shd w:val="clear" w:color="auto" w:fill="FFFFFF"/>
          <w:lang w:bidi="ar"/>
        </w:rPr>
        <w:t>规划公益性用地占比超过40%，符合规定的标准。</w:t>
      </w:r>
    </w:p>
    <w:p w14:paraId="607C8197">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七、实施计划</w:t>
      </w:r>
    </w:p>
    <w:p w14:paraId="238478F7">
      <w:pPr>
        <w:pStyle w:val="8"/>
        <w:widowControl/>
        <w:spacing w:beforeAutospacing="0" w:afterAutospacing="0" w:line="579" w:lineRule="exact"/>
        <w:ind w:firstLine="616"/>
        <w:jc w:val="both"/>
        <w:rPr>
          <w:rFonts w:ascii="Times New Roman" w:hAnsi="Times New Roman" w:eastAsia="仿宋_GB2312"/>
          <w:color w:val="333333"/>
          <w:spacing w:val="-6"/>
          <w:sz w:val="32"/>
          <w:szCs w:val="32"/>
          <w:shd w:val="clear" w:color="auto" w:fill="FFFFFF"/>
        </w:rPr>
      </w:pPr>
      <w:r>
        <w:rPr>
          <w:rFonts w:ascii="Times New Roman" w:hAnsi="Times New Roman" w:eastAsia="仿宋_GB2312"/>
          <w:color w:val="333333"/>
          <w:spacing w:val="-6"/>
          <w:sz w:val="32"/>
          <w:szCs w:val="32"/>
          <w:shd w:val="clear" w:color="auto" w:fill="FFFFFF"/>
        </w:rPr>
        <w:t>本次成片开发用地总面积</w:t>
      </w:r>
      <w:r>
        <w:rPr>
          <w:rFonts w:hint="eastAsia" w:ascii="Times New Roman" w:hAnsi="Times New Roman" w:eastAsia="仿宋_GB2312"/>
          <w:color w:val="333333"/>
          <w:spacing w:val="-6"/>
          <w:sz w:val="32"/>
          <w:szCs w:val="32"/>
          <w:shd w:val="clear" w:color="auto" w:fill="FFFFFF"/>
        </w:rPr>
        <w:t>6.1105</w:t>
      </w:r>
      <w:r>
        <w:rPr>
          <w:rFonts w:ascii="Times New Roman" w:hAnsi="Times New Roman" w:eastAsia="仿宋_GB2312"/>
          <w:color w:val="333333"/>
          <w:spacing w:val="-6"/>
          <w:sz w:val="32"/>
          <w:szCs w:val="32"/>
          <w:shd w:val="clear" w:color="auto" w:fill="FFFFFF"/>
        </w:rPr>
        <w:t>公顷，</w:t>
      </w:r>
      <w:r>
        <w:rPr>
          <w:rFonts w:hint="eastAsia" w:ascii="Times New Roman" w:hAnsi="Times New Roman" w:eastAsia="仿宋_GB2312"/>
          <w:color w:val="333333"/>
          <w:spacing w:val="-6"/>
          <w:sz w:val="32"/>
          <w:szCs w:val="32"/>
          <w:shd w:val="clear" w:color="auto" w:fill="FFFFFF"/>
        </w:rPr>
        <w:t>已</w:t>
      </w:r>
      <w:r>
        <w:rPr>
          <w:rFonts w:ascii="Times New Roman" w:hAnsi="Times New Roman" w:eastAsia="仿宋_GB2312"/>
          <w:color w:val="333333"/>
          <w:spacing w:val="-6"/>
          <w:sz w:val="32"/>
          <w:szCs w:val="32"/>
          <w:shd w:val="clear" w:color="auto" w:fill="FFFFFF"/>
        </w:rPr>
        <w:t>完成实施面积</w:t>
      </w:r>
      <w:r>
        <w:rPr>
          <w:rFonts w:hint="eastAsia" w:ascii="Times New Roman" w:hAnsi="Times New Roman" w:eastAsia="仿宋_GB2312"/>
          <w:color w:val="333333"/>
          <w:spacing w:val="-6"/>
          <w:sz w:val="32"/>
          <w:szCs w:val="32"/>
          <w:shd w:val="clear" w:color="auto" w:fill="FFFFFF"/>
        </w:rPr>
        <w:t>2.3933</w:t>
      </w:r>
      <w:r>
        <w:rPr>
          <w:rFonts w:ascii="Times New Roman" w:hAnsi="Times New Roman" w:eastAsia="仿宋_GB2312"/>
          <w:color w:val="333333"/>
          <w:spacing w:val="-6"/>
          <w:sz w:val="32"/>
          <w:szCs w:val="32"/>
          <w:shd w:val="clear" w:color="auto" w:fill="FFFFFF"/>
        </w:rPr>
        <w:t>公顷，拟安排实施项目面积</w:t>
      </w:r>
      <w:r>
        <w:rPr>
          <w:rFonts w:hint="eastAsia" w:ascii="Times New Roman" w:hAnsi="Times New Roman" w:eastAsia="仿宋_GB2312"/>
          <w:color w:val="333333"/>
          <w:spacing w:val="-6"/>
          <w:sz w:val="32"/>
          <w:szCs w:val="32"/>
          <w:shd w:val="clear" w:color="auto" w:fill="FFFFFF"/>
        </w:rPr>
        <w:t>3.7172</w:t>
      </w:r>
      <w:r>
        <w:rPr>
          <w:rFonts w:ascii="Times New Roman" w:hAnsi="Times New Roman" w:eastAsia="仿宋_GB2312"/>
          <w:color w:val="333333"/>
          <w:spacing w:val="-6"/>
          <w:sz w:val="32"/>
          <w:szCs w:val="32"/>
          <w:shd w:val="clear" w:color="auto" w:fill="FFFFFF"/>
        </w:rPr>
        <w:t>公顷，计划实施周期为</w:t>
      </w:r>
      <w:r>
        <w:rPr>
          <w:rFonts w:hint="eastAsia" w:ascii="Times New Roman" w:hAnsi="Times New Roman" w:eastAsia="仿宋_GB2312"/>
          <w:color w:val="333333"/>
          <w:spacing w:val="-6"/>
          <w:sz w:val="32"/>
          <w:szCs w:val="32"/>
          <w:shd w:val="clear" w:color="auto" w:fill="FFFFFF"/>
        </w:rPr>
        <w:t>3</w:t>
      </w:r>
      <w:r>
        <w:rPr>
          <w:rFonts w:ascii="Times New Roman" w:hAnsi="Times New Roman" w:eastAsia="仿宋_GB2312"/>
          <w:color w:val="333333"/>
          <w:spacing w:val="-6"/>
          <w:sz w:val="32"/>
          <w:szCs w:val="32"/>
          <w:shd w:val="clear" w:color="auto" w:fill="FFFFFF"/>
        </w:rPr>
        <w:t>年，</w:t>
      </w:r>
      <w:r>
        <w:rPr>
          <w:rFonts w:hint="eastAsia" w:ascii="Times New Roman" w:hAnsi="Times New Roman" w:eastAsia="仿宋_GB2312"/>
          <w:color w:val="333333"/>
          <w:spacing w:val="-6"/>
          <w:sz w:val="32"/>
          <w:szCs w:val="32"/>
          <w:shd w:val="clear" w:color="auto" w:fill="FFFFFF"/>
        </w:rPr>
        <w:t>3年内实施完毕</w:t>
      </w:r>
      <w:r>
        <w:rPr>
          <w:rFonts w:ascii="Times New Roman" w:hAnsi="Times New Roman" w:eastAsia="仿宋_GB2312"/>
          <w:color w:val="333333"/>
          <w:spacing w:val="-6"/>
          <w:sz w:val="32"/>
          <w:szCs w:val="32"/>
          <w:shd w:val="clear" w:color="auto" w:fill="FFFFFF"/>
        </w:rPr>
        <w:t>。</w:t>
      </w:r>
    </w:p>
    <w:p w14:paraId="2C215FEB">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八、效益评估</w:t>
      </w:r>
    </w:p>
    <w:p w14:paraId="17697917">
      <w:pPr>
        <w:widowControl/>
        <w:spacing w:line="579" w:lineRule="exact"/>
        <w:ind w:firstLine="64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（一）土地利用效益</w:t>
      </w:r>
    </w:p>
    <w:p w14:paraId="44571C1B">
      <w:pPr>
        <w:pStyle w:val="5"/>
        <w:widowControl/>
        <w:spacing w:line="579" w:lineRule="exact"/>
        <w:ind w:firstLine="560"/>
        <w:rPr>
          <w:rFonts w:hint="eastAsia" w:ascii="仿宋_GB2312" w:hAnsi="微软雅黑" w:eastAsia="仿宋_GB2312" w:cs="仿宋_GB2312"/>
          <w:color w:val="333333"/>
          <w:spacing w:val="-6"/>
          <w:kern w:val="0"/>
          <w:sz w:val="32"/>
          <w:szCs w:val="32"/>
          <w:shd w:val="clear" w:color="auto" w:fill="FFFFFF"/>
          <w:lang w:bidi="ar"/>
        </w:rPr>
      </w:pPr>
      <w:r>
        <w:rPr>
          <w:rFonts w:hint="eastAsia" w:ascii="仿宋_GB2312" w:hAnsi="微软雅黑" w:eastAsia="仿宋_GB2312" w:cs="仿宋_GB2312"/>
          <w:color w:val="333333"/>
          <w:spacing w:val="-6"/>
          <w:kern w:val="0"/>
          <w:sz w:val="32"/>
          <w:szCs w:val="32"/>
          <w:shd w:val="clear" w:color="auto" w:fill="FFFFFF"/>
          <w:lang w:bidi="ar"/>
        </w:rPr>
        <w:t>本次成片开发通过科学配置土地资源，建设区域更加集中，容积率大幅提升，土地利用更加高效。</w:t>
      </w:r>
    </w:p>
    <w:p w14:paraId="5CDE0CDA">
      <w:pPr>
        <w:widowControl/>
        <w:spacing w:line="579" w:lineRule="exact"/>
        <w:ind w:firstLine="64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zh-CN"/>
        </w:rPr>
        <w:t>）经济效益</w:t>
      </w:r>
    </w:p>
    <w:p w14:paraId="4D9FE741">
      <w:pPr>
        <w:pStyle w:val="8"/>
        <w:widowControl/>
        <w:spacing w:beforeAutospacing="0" w:afterAutospacing="0" w:line="579" w:lineRule="exact"/>
        <w:ind w:firstLine="616"/>
        <w:jc w:val="both"/>
        <w:rPr>
          <w:rFonts w:hint="eastAsia" w:ascii="仿宋_GB2312" w:hAnsi="微软雅黑" w:eastAsia="仿宋_GB2312" w:cs="仿宋_GB2312"/>
          <w:color w:val="333333"/>
          <w:spacing w:val="-6"/>
          <w:sz w:val="32"/>
          <w:szCs w:val="32"/>
          <w:shd w:val="clear" w:color="auto" w:fill="FFFFFF"/>
        </w:rPr>
      </w:pPr>
      <w:r>
        <w:rPr>
          <w:rFonts w:hint="eastAsia" w:ascii="仿宋_GB2312" w:hAnsi="微软雅黑" w:eastAsia="仿宋_GB2312" w:cs="仿宋_GB2312"/>
          <w:color w:val="333333"/>
          <w:spacing w:val="-6"/>
          <w:sz w:val="32"/>
          <w:szCs w:val="32"/>
          <w:shd w:val="clear" w:color="auto" w:fill="FFFFFF"/>
        </w:rPr>
        <w:t>本次成片开发</w:t>
      </w:r>
      <w:r>
        <w:rPr>
          <w:rFonts w:ascii="仿宋_GB2312" w:hAnsi="微软雅黑" w:eastAsia="仿宋_GB2312" w:cs="仿宋_GB2312"/>
          <w:color w:val="333333"/>
          <w:spacing w:val="-6"/>
          <w:sz w:val="32"/>
          <w:szCs w:val="32"/>
          <w:shd w:val="clear" w:color="auto" w:fill="FFFFFF"/>
        </w:rPr>
        <w:t>将对</w:t>
      </w:r>
      <w:r>
        <w:rPr>
          <w:rFonts w:hint="eastAsia" w:ascii="仿宋_GB2312" w:hAnsi="微软雅黑" w:eastAsia="仿宋_GB2312" w:cs="仿宋_GB2312"/>
          <w:color w:val="333333"/>
          <w:spacing w:val="-6"/>
          <w:sz w:val="32"/>
          <w:szCs w:val="32"/>
          <w:shd w:val="clear" w:color="auto" w:fill="FFFFFF"/>
        </w:rPr>
        <w:t>泉州市城东</w:t>
      </w:r>
      <w:r>
        <w:rPr>
          <w:rFonts w:ascii="仿宋_GB2312" w:hAnsi="微软雅黑" w:eastAsia="仿宋_GB2312" w:cs="仿宋_GB2312"/>
          <w:color w:val="333333"/>
          <w:spacing w:val="-6"/>
          <w:sz w:val="32"/>
          <w:szCs w:val="32"/>
          <w:shd w:val="clear" w:color="auto" w:fill="FFFFFF"/>
        </w:rPr>
        <w:t>经济增效和发展起到积极的推动作用</w:t>
      </w:r>
      <w:r>
        <w:rPr>
          <w:rFonts w:hint="eastAsia" w:ascii="仿宋_GB2312" w:hAnsi="微软雅黑" w:eastAsia="仿宋_GB2312" w:cs="仿宋_GB2312"/>
          <w:color w:val="333333"/>
          <w:spacing w:val="-6"/>
          <w:sz w:val="32"/>
          <w:szCs w:val="32"/>
          <w:shd w:val="clear" w:color="auto" w:fill="FFFFFF"/>
        </w:rPr>
        <w:t>，</w:t>
      </w:r>
      <w:r>
        <w:rPr>
          <w:rFonts w:ascii="仿宋_GB2312" w:hAnsi="微软雅黑" w:eastAsia="仿宋_GB2312" w:cs="仿宋_GB2312"/>
          <w:color w:val="333333"/>
          <w:spacing w:val="-6"/>
          <w:sz w:val="32"/>
          <w:szCs w:val="32"/>
          <w:shd w:val="clear" w:color="auto" w:fill="FFFFFF"/>
        </w:rPr>
        <w:t>同时</w:t>
      </w:r>
      <w:r>
        <w:rPr>
          <w:rFonts w:hint="eastAsia" w:ascii="仿宋_GB2312" w:hAnsi="微软雅黑" w:eastAsia="仿宋_GB2312" w:cs="仿宋_GB2312"/>
          <w:color w:val="333333"/>
          <w:spacing w:val="-6"/>
          <w:sz w:val="32"/>
          <w:szCs w:val="32"/>
          <w:shd w:val="clear" w:color="auto" w:fill="FFFFFF"/>
        </w:rPr>
        <w:t>片区常住和流动人口的增加，将进一步带动周边第三产业的发展，提高片区经济活跃度，增加居民收入。</w:t>
      </w:r>
    </w:p>
    <w:p w14:paraId="0A777D36">
      <w:pPr>
        <w:widowControl/>
        <w:spacing w:line="579" w:lineRule="exact"/>
        <w:ind w:firstLine="64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zh-CN"/>
        </w:rPr>
        <w:t>）社会效益</w:t>
      </w:r>
    </w:p>
    <w:p w14:paraId="250B36DE">
      <w:pPr>
        <w:pStyle w:val="8"/>
        <w:widowControl/>
        <w:spacing w:beforeAutospacing="0" w:afterAutospacing="0" w:line="579" w:lineRule="exact"/>
        <w:ind w:firstLine="616"/>
        <w:jc w:val="both"/>
        <w:rPr>
          <w:rFonts w:hint="eastAsia" w:ascii="仿宋_GB2312" w:hAnsi="微软雅黑" w:eastAsia="仿宋_GB2312" w:cs="仿宋_GB2312"/>
          <w:color w:val="333333"/>
          <w:spacing w:val="-6"/>
          <w:sz w:val="32"/>
          <w:szCs w:val="32"/>
          <w:shd w:val="clear" w:color="auto" w:fill="FFFFFF"/>
        </w:rPr>
      </w:pPr>
      <w:r>
        <w:rPr>
          <w:rFonts w:hint="eastAsia" w:ascii="仿宋_GB2312" w:hAnsi="微软雅黑" w:eastAsia="仿宋_GB2312" w:cs="仿宋_GB2312"/>
          <w:color w:val="333333"/>
          <w:spacing w:val="-6"/>
          <w:sz w:val="32"/>
          <w:szCs w:val="32"/>
          <w:shd w:val="clear" w:color="auto" w:fill="FFFFFF"/>
        </w:rPr>
        <w:t>通过本次成片开发的实施，使被征地农民和务工人员成为城市社区居民，将会明显改善居民生活环境和卫生条件，为居民创造一个优越的生活、娱乐、休闲环境，有利于提高居民的生活质量和健康水平。</w:t>
      </w:r>
    </w:p>
    <w:p w14:paraId="3A44A99B">
      <w:pPr>
        <w:widowControl/>
        <w:spacing w:line="579" w:lineRule="exact"/>
        <w:ind w:firstLine="640"/>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（四）生态效益</w:t>
      </w:r>
    </w:p>
    <w:p w14:paraId="772B79AB">
      <w:pPr>
        <w:pStyle w:val="8"/>
        <w:widowControl/>
        <w:spacing w:beforeAutospacing="0" w:afterAutospacing="0" w:line="579" w:lineRule="exact"/>
        <w:ind w:firstLine="616"/>
        <w:jc w:val="both"/>
        <w:rPr>
          <w:rFonts w:hint="eastAsia" w:ascii="仿宋_GB2312" w:hAnsi="微软雅黑" w:eastAsia="仿宋_GB2312" w:cs="仿宋_GB2312"/>
          <w:color w:val="333333"/>
          <w:spacing w:val="-6"/>
          <w:sz w:val="32"/>
          <w:szCs w:val="32"/>
          <w:shd w:val="clear" w:color="auto" w:fill="FFFFFF"/>
        </w:rPr>
      </w:pPr>
      <w:r>
        <w:rPr>
          <w:rFonts w:hint="eastAsia" w:ascii="仿宋_GB2312" w:hAnsi="微软雅黑" w:eastAsia="仿宋_GB2312" w:cs="仿宋_GB2312"/>
          <w:color w:val="333333"/>
          <w:spacing w:val="-6"/>
          <w:sz w:val="32"/>
          <w:szCs w:val="32"/>
          <w:shd w:val="clear" w:color="auto" w:fill="FFFFFF"/>
        </w:rPr>
        <w:t>本次成片开发通过设计绿色空间，形成景观节点，可美化环境，净化空气，从而保护周边环境，提升片区周边整体面貌，改善区域生态环境质量。</w:t>
      </w:r>
    </w:p>
    <w:p w14:paraId="59E79792">
      <w:pPr>
        <w:pStyle w:val="8"/>
        <w:widowControl/>
        <w:spacing w:beforeAutospacing="0" w:afterAutospacing="0" w:line="579" w:lineRule="exact"/>
        <w:ind w:firstLine="616"/>
        <w:rPr>
          <w:rFonts w:hint="eastAsia" w:ascii="黑体" w:hAnsi="宋体" w:eastAsia="黑体" w:cs="黑体"/>
          <w:color w:val="333333"/>
          <w:spacing w:val="-6"/>
          <w:sz w:val="32"/>
          <w:szCs w:val="32"/>
          <w:shd w:val="clear" w:color="auto" w:fill="FFFFFF"/>
        </w:rPr>
      </w:pPr>
      <w:r>
        <w:rPr>
          <w:rFonts w:hint="eastAsia" w:ascii="黑体" w:hAnsi="宋体" w:eastAsia="黑体" w:cs="黑体"/>
          <w:color w:val="333333"/>
          <w:spacing w:val="-6"/>
          <w:sz w:val="32"/>
          <w:szCs w:val="32"/>
          <w:shd w:val="clear" w:color="auto" w:fill="FFFFFF"/>
        </w:rPr>
        <w:t>九、结论</w:t>
      </w:r>
    </w:p>
    <w:p w14:paraId="24AE9F05">
      <w:pPr>
        <w:pStyle w:val="5"/>
        <w:widowControl/>
        <w:spacing w:line="579" w:lineRule="exact"/>
        <w:ind w:firstLine="562"/>
        <w:rPr>
          <w:rFonts w:hint="eastAsia" w:ascii="仿宋_GB2312" w:hAnsi="微软雅黑" w:eastAsia="仿宋_GB2312" w:cs="仿宋_GB2312"/>
          <w:color w:val="333333"/>
          <w:spacing w:val="-6"/>
          <w:kern w:val="0"/>
          <w:sz w:val="32"/>
          <w:szCs w:val="32"/>
          <w:shd w:val="clear" w:color="auto" w:fill="FFFFFF"/>
          <w:lang w:bidi="ar"/>
        </w:rPr>
      </w:pPr>
      <w:r>
        <w:rPr>
          <w:rFonts w:hint="eastAsia" w:ascii="仿宋_GB2312" w:hAnsi="微软雅黑" w:eastAsia="仿宋_GB2312" w:cs="仿宋_GB2312"/>
          <w:color w:val="333333"/>
          <w:spacing w:val="-6"/>
          <w:kern w:val="0"/>
          <w:sz w:val="32"/>
          <w:szCs w:val="32"/>
          <w:shd w:val="clear" w:color="auto" w:fill="FFFFFF"/>
          <w:lang w:val="zh-CN" w:bidi="ar"/>
        </w:rPr>
        <w:t>《</w:t>
      </w:r>
      <w:r>
        <w:rPr>
          <w:rFonts w:hint="eastAsia" w:ascii="仿宋_GB2312" w:hAnsi="微软雅黑" w:eastAsia="仿宋_GB2312" w:cs="仿宋_GB2312"/>
          <w:color w:val="333333"/>
          <w:spacing w:val="-6"/>
          <w:kern w:val="0"/>
          <w:sz w:val="32"/>
          <w:szCs w:val="32"/>
          <w:shd w:val="clear" w:color="auto" w:fill="FFFFFF"/>
          <w:lang w:bidi="ar"/>
        </w:rPr>
        <w:t>泉州市丰泽区城东庄任片区</w:t>
      </w:r>
      <w:r>
        <w:rPr>
          <w:rFonts w:hint="eastAsia" w:ascii="仿宋_GB2312" w:hAnsi="微软雅黑" w:eastAsia="仿宋_GB2312" w:cs="仿宋_GB2312"/>
          <w:color w:val="333333"/>
          <w:spacing w:val="-6"/>
          <w:kern w:val="0"/>
          <w:sz w:val="32"/>
          <w:szCs w:val="32"/>
          <w:shd w:val="clear" w:color="auto" w:fill="FFFFFF"/>
          <w:lang w:val="zh-CN" w:bidi="ar"/>
        </w:rPr>
        <w:t>土地征收成片开发方案》符合</w:t>
      </w:r>
      <w:r>
        <w:rPr>
          <w:rFonts w:hint="eastAsia" w:ascii="仿宋_GB2312" w:hAnsi="微软雅黑" w:eastAsia="仿宋_GB2312" w:cs="仿宋_GB2312"/>
          <w:color w:val="333333"/>
          <w:spacing w:val="-6"/>
          <w:kern w:val="0"/>
          <w:sz w:val="32"/>
          <w:szCs w:val="32"/>
          <w:shd w:val="clear" w:color="auto" w:fill="FFFFFF"/>
          <w:lang w:bidi="ar"/>
        </w:rPr>
        <w:t>土地征收成片开发的标准。</w:t>
      </w:r>
    </w:p>
    <w:p w14:paraId="5A175AA2">
      <w:pPr>
        <w:pStyle w:val="5"/>
        <w:widowControl/>
        <w:spacing w:line="600" w:lineRule="exact"/>
        <w:ind w:firstLine="562"/>
        <w:rPr>
          <w:rFonts w:hint="eastAsia" w:ascii="仿宋_GB2312" w:hAnsi="微软雅黑" w:eastAsia="仿宋_GB2312" w:cs="仿宋_GB2312"/>
          <w:color w:val="333333"/>
          <w:spacing w:val="-6"/>
          <w:kern w:val="0"/>
          <w:sz w:val="32"/>
          <w:szCs w:val="32"/>
          <w:shd w:val="clear" w:color="auto" w:fill="FFFFFF"/>
          <w:lang w:bidi="ar"/>
        </w:rPr>
      </w:pPr>
    </w:p>
    <w:p w14:paraId="24AFC2B2">
      <w:pPr>
        <w:pStyle w:val="8"/>
        <w:widowControl/>
        <w:spacing w:beforeAutospacing="0" w:afterAutospacing="0" w:line="600" w:lineRule="exact"/>
        <w:ind w:left="1562" w:leftChars="304" w:hanging="924" w:hangingChars="300"/>
        <w:jc w:val="both"/>
        <w:rPr>
          <w:rFonts w:hint="eastAsia" w:ascii="仿宋_GB2312" w:hAnsi="微软雅黑" w:eastAsia="仿宋_GB2312" w:cs="仿宋_GB2312"/>
          <w:strike/>
          <w:color w:val="FF0000"/>
          <w:spacing w:val="-6"/>
          <w:sz w:val="32"/>
          <w:szCs w:val="32"/>
          <w:shd w:val="clear" w:color="auto" w:fill="FFFFFF"/>
        </w:rPr>
        <w:sectPr>
          <w:footerReference r:id="rId3" w:type="default"/>
          <w:footerReference r:id="rId4" w:type="even"/>
          <w:pgSz w:w="11906" w:h="16838"/>
          <w:pgMar w:top="2098" w:right="1474" w:bottom="1985" w:left="1588" w:header="851" w:footer="992" w:gutter="0"/>
          <w:cols w:space="425" w:num="1"/>
          <w:docGrid w:type="lines" w:linePitch="312" w:charSpace="0"/>
        </w:sectPr>
      </w:pPr>
    </w:p>
    <w:p w14:paraId="197F29BC">
      <w:pPr>
        <w:pStyle w:val="2"/>
        <w:ind w:firstLine="0" w:firstLineChars="0"/>
        <w:jc w:val="center"/>
        <w:rPr>
          <w:b/>
          <w:bCs/>
          <w:sz w:val="44"/>
          <w:szCs w:val="44"/>
        </w:rPr>
      </w:pPr>
      <w:r>
        <w:rPr>
          <w:rFonts w:hint="eastAsia"/>
          <w:b/>
          <w:bCs/>
          <w:sz w:val="44"/>
          <w:szCs w:val="44"/>
        </w:rPr>
        <w:t>泉州市丰泽区城东庄任片区土地征收成片开发方案位置示意图</w:t>
      </w:r>
    </w:p>
    <w:p w14:paraId="3E70D568">
      <w:pPr>
        <w:pStyle w:val="5"/>
        <w:widowControl/>
        <w:rPr>
          <w:rFonts w:hint="eastAsia" w:ascii="仿宋_GB2312" w:hAnsi="微软雅黑" w:eastAsia="仿宋_GB2312" w:cs="仿宋_GB2312"/>
          <w:color w:val="333333"/>
          <w:spacing w:val="-6"/>
          <w:kern w:val="0"/>
          <w:sz w:val="32"/>
          <w:szCs w:val="32"/>
          <w:shd w:val="clear" w:color="auto" w:fill="FFFFFF"/>
          <w:lang w:bidi="ar"/>
        </w:rPr>
      </w:pPr>
      <w:r>
        <w:rPr>
          <w:rFonts w:hint="eastAsia" w:ascii="仿宋_GB2312" w:hAnsi="微软雅黑" w:eastAsia="仿宋_GB2312" w:cs="仿宋_GB2312"/>
          <w:color w:val="333333"/>
          <w:spacing w:val="-6"/>
          <w:kern w:val="0"/>
          <w:sz w:val="32"/>
          <w:szCs w:val="32"/>
          <w:shd w:val="clear" w:color="auto" w:fill="FFFFFF"/>
          <w:lang w:bidi="ar"/>
        </w:rPr>
        <w:drawing>
          <wp:anchor distT="0" distB="0" distL="114300" distR="114300" simplePos="0" relativeHeight="251659264" behindDoc="0" locked="0" layoutInCell="1" allowOverlap="1">
            <wp:simplePos x="0" y="0"/>
            <wp:positionH relativeFrom="column">
              <wp:posOffset>-236220</wp:posOffset>
            </wp:positionH>
            <wp:positionV relativeFrom="paragraph">
              <wp:posOffset>23495</wp:posOffset>
            </wp:positionV>
            <wp:extent cx="6036945" cy="7536815"/>
            <wp:effectExtent l="0" t="0" r="13335" b="6985"/>
            <wp:wrapNone/>
            <wp:docPr id="1" name="图片 1" descr="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位置示意图"/>
                    <pic:cNvPicPr>
                      <a:picLocks noChangeAspect="1"/>
                    </pic:cNvPicPr>
                  </pic:nvPicPr>
                  <pic:blipFill>
                    <a:blip r:embed="rId6"/>
                    <a:srcRect t="6766" b="4977"/>
                    <a:stretch>
                      <a:fillRect/>
                    </a:stretch>
                  </pic:blipFill>
                  <pic:spPr>
                    <a:xfrm>
                      <a:off x="0" y="0"/>
                      <a:ext cx="6036945" cy="7536815"/>
                    </a:xfrm>
                    <a:prstGeom prst="rect">
                      <a:avLst/>
                    </a:prstGeom>
                  </pic:spPr>
                </pic:pic>
              </a:graphicData>
            </a:graphic>
          </wp:anchor>
        </w:drawing>
      </w:r>
    </w:p>
    <w:p w14:paraId="09B7D4E5"/>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B39A">
    <w:pPr>
      <w:pStyle w:val="6"/>
      <w:ind w:firstLine="7560" w:firstLineChars="2700"/>
    </w:pPr>
    <w:r>
      <w:rPr>
        <w:rFonts w:hint="eastAsia"/>
      </w:rPr>
      <w:t xml:space="preserve">— </w:t>
    </w:r>
    <w:sdt>
      <w:sdtPr>
        <w:rPr>
          <w:rFonts w:hint="eastAsia"/>
        </w:rPr>
        <w:id w:val="993448240"/>
        <w:docPartObj>
          <w:docPartGallery w:val="AutoText"/>
        </w:docPartObj>
      </w:sdtPr>
      <w:sdtEndPr>
        <w:rPr>
          <w:rFonts w:hint="eastAsia"/>
        </w:rPr>
      </w:sdtEndPr>
      <w:sdtContent>
        <w:r>
          <w:rPr>
            <w:rFonts w:hint="eastAsia"/>
          </w:rPr>
          <w:fldChar w:fldCharType="begin"/>
        </w:r>
        <w:r>
          <w:rPr>
            <w:rFonts w:hint="eastAsia"/>
          </w:rPr>
          <w:instrText xml:space="preserve">PAGE   \* MERGEFORMAT</w:instrText>
        </w:r>
        <w:r>
          <w:rPr>
            <w:rFonts w:hint="eastAsia"/>
          </w:rPr>
          <w:fldChar w:fldCharType="separate"/>
        </w:r>
        <w:r>
          <w:rPr>
            <w:rFonts w:hint="eastAsia"/>
            <w:lang w:val="zh-CN"/>
          </w:rPr>
          <w:t>2</w:t>
        </w:r>
        <w:r>
          <w:rPr>
            <w:rFonts w:hint="eastAsia"/>
          </w:rPr>
          <w:fldChar w:fldCharType="end"/>
        </w:r>
        <w:r>
          <w:rPr>
            <w:rFonts w:hint="eastAsia"/>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C1F64">
    <w:pPr>
      <w:pStyle w:val="6"/>
      <w:ind w:firstLine="140" w:firstLineChars="50"/>
    </w:pPr>
    <w:r>
      <w:rPr>
        <w:rFonts w:hint="eastAsia"/>
      </w:rPr>
      <w:t xml:space="preserve">— </w:t>
    </w:r>
    <w:sdt>
      <w:sdtPr>
        <w:rPr>
          <w:rFonts w:hint="eastAsia"/>
        </w:rPr>
        <w:id w:val="70701577"/>
        <w:docPartObj>
          <w:docPartGallery w:val="AutoText"/>
        </w:docPartObj>
      </w:sdtPr>
      <w:sdtEndPr>
        <w:rPr>
          <w:rFonts w:hint="eastAsia"/>
        </w:rPr>
      </w:sdtEndPr>
      <w:sdtContent>
        <w:r>
          <w:rPr>
            <w:rFonts w:hint="eastAsia"/>
          </w:rPr>
          <w:fldChar w:fldCharType="begin"/>
        </w:r>
        <w:r>
          <w:rPr>
            <w:rFonts w:hint="eastAsia"/>
          </w:rPr>
          <w:instrText xml:space="preserve">PAGE   \* MERGEFORMAT</w:instrText>
        </w:r>
        <w:r>
          <w:rPr>
            <w:rFonts w:hint="eastAsia"/>
          </w:rPr>
          <w:fldChar w:fldCharType="separate"/>
        </w:r>
        <w:r>
          <w:t>1</w:t>
        </w:r>
        <w:r>
          <w:rPr>
            <w:rFonts w:hint="eastAsia"/>
          </w:rPr>
          <w:fldChar w:fldCharType="end"/>
        </w:r>
        <w:r>
          <w:rPr>
            <w:rFonts w:hint="eastAsia"/>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N2IxODE5YjFkOTZmYjY1YzExYmNhYWNlN2Y5MTYifQ=="/>
  </w:docVars>
  <w:rsids>
    <w:rsidRoot w:val="32815EBE"/>
    <w:rsid w:val="00263A21"/>
    <w:rsid w:val="002E33B3"/>
    <w:rsid w:val="00307058"/>
    <w:rsid w:val="004E3C02"/>
    <w:rsid w:val="0099256D"/>
    <w:rsid w:val="00A6323A"/>
    <w:rsid w:val="00AB5AB9"/>
    <w:rsid w:val="00B92131"/>
    <w:rsid w:val="00BA2A45"/>
    <w:rsid w:val="01115B19"/>
    <w:rsid w:val="03F20CE4"/>
    <w:rsid w:val="08A07782"/>
    <w:rsid w:val="0AD656DD"/>
    <w:rsid w:val="0B5E289E"/>
    <w:rsid w:val="0F9D0EBF"/>
    <w:rsid w:val="104E477C"/>
    <w:rsid w:val="13250C34"/>
    <w:rsid w:val="139D58AC"/>
    <w:rsid w:val="162714E3"/>
    <w:rsid w:val="16276B81"/>
    <w:rsid w:val="18100480"/>
    <w:rsid w:val="191E6D09"/>
    <w:rsid w:val="19C90789"/>
    <w:rsid w:val="1A9D5276"/>
    <w:rsid w:val="1BB92BDD"/>
    <w:rsid w:val="1C4151E8"/>
    <w:rsid w:val="1F1620F4"/>
    <w:rsid w:val="20E45483"/>
    <w:rsid w:val="21F60823"/>
    <w:rsid w:val="22954DFB"/>
    <w:rsid w:val="27504758"/>
    <w:rsid w:val="2C7B38AD"/>
    <w:rsid w:val="2CE00DF7"/>
    <w:rsid w:val="301B3A0F"/>
    <w:rsid w:val="3049232A"/>
    <w:rsid w:val="31EF0CAF"/>
    <w:rsid w:val="32815EBE"/>
    <w:rsid w:val="358D2784"/>
    <w:rsid w:val="35A63D7A"/>
    <w:rsid w:val="35DE4DC5"/>
    <w:rsid w:val="36AA1228"/>
    <w:rsid w:val="384635F3"/>
    <w:rsid w:val="3BF1356E"/>
    <w:rsid w:val="3CF14DC8"/>
    <w:rsid w:val="404920A9"/>
    <w:rsid w:val="42312C1E"/>
    <w:rsid w:val="468D6EA3"/>
    <w:rsid w:val="49EF5898"/>
    <w:rsid w:val="4B082B2F"/>
    <w:rsid w:val="4B9A7A86"/>
    <w:rsid w:val="4C487137"/>
    <w:rsid w:val="4C8C201E"/>
    <w:rsid w:val="4DA35BE5"/>
    <w:rsid w:val="503229C4"/>
    <w:rsid w:val="54D94DFF"/>
    <w:rsid w:val="5B9A05DD"/>
    <w:rsid w:val="5D0844D3"/>
    <w:rsid w:val="5E9842F9"/>
    <w:rsid w:val="5FD34A8A"/>
    <w:rsid w:val="600D78DD"/>
    <w:rsid w:val="614B40CF"/>
    <w:rsid w:val="624004A9"/>
    <w:rsid w:val="625D412A"/>
    <w:rsid w:val="64497D1F"/>
    <w:rsid w:val="692A4777"/>
    <w:rsid w:val="6A8219B9"/>
    <w:rsid w:val="6B9522CA"/>
    <w:rsid w:val="6E6B7334"/>
    <w:rsid w:val="6F904BDE"/>
    <w:rsid w:val="70CC2860"/>
    <w:rsid w:val="760222E8"/>
    <w:rsid w:val="7BA742C5"/>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pPr>
  </w:style>
  <w:style w:type="paragraph" w:styleId="3">
    <w:name w:val="Body Text Indent"/>
    <w:basedOn w:val="1"/>
    <w:autoRedefine/>
    <w:semiHidden/>
    <w:qFormat/>
    <w:uiPriority w:val="0"/>
    <w:pPr>
      <w:spacing w:line="360" w:lineRule="auto"/>
      <w:ind w:firstLine="480" w:firstLineChars="200"/>
    </w:pPr>
    <w:rPr>
      <w:sz w:val="24"/>
    </w:rPr>
  </w:style>
  <w:style w:type="paragraph" w:styleId="5">
    <w:name w:val="Body Text"/>
    <w:basedOn w:val="1"/>
    <w:autoRedefine/>
    <w:qFormat/>
    <w:uiPriority w:val="0"/>
  </w:style>
  <w:style w:type="paragraph" w:styleId="6">
    <w:name w:val="footer"/>
    <w:basedOn w:val="1"/>
    <w:link w:val="13"/>
    <w:autoRedefine/>
    <w:unhideWhenUsed/>
    <w:qFormat/>
    <w:uiPriority w:val="99"/>
    <w:pPr>
      <w:tabs>
        <w:tab w:val="center" w:pos="4153"/>
        <w:tab w:val="right" w:pos="8306"/>
      </w:tabs>
      <w:snapToGrid w:val="0"/>
      <w:ind w:firstLine="6440" w:firstLineChars="2300"/>
      <w:jc w:val="left"/>
    </w:pPr>
    <w:rPr>
      <w:rFonts w:ascii="仿宋_GB2312" w:eastAsia="仿宋_GB2312"/>
      <w:sz w:val="28"/>
      <w:szCs w:val="28"/>
    </w:rPr>
  </w:style>
  <w:style w:type="paragraph" w:styleId="7">
    <w:name w:val="header"/>
    <w:basedOn w:val="1"/>
    <w:link w:val="12"/>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Hyperlink"/>
    <w:basedOn w:val="10"/>
    <w:autoRedefine/>
    <w:qFormat/>
    <w:uiPriority w:val="0"/>
    <w:rPr>
      <w:color w:val="0000FF"/>
      <w:u w:val="single"/>
    </w:rPr>
  </w:style>
  <w:style w:type="character" w:customStyle="1" w:styleId="12">
    <w:name w:val="页眉 字符"/>
    <w:basedOn w:val="10"/>
    <w:link w:val="7"/>
    <w:qFormat/>
    <w:uiPriority w:val="0"/>
    <w:rPr>
      <w:rFonts w:asciiTheme="minorHAnsi" w:hAnsiTheme="minorHAnsi" w:eastAsiaTheme="minorEastAsia" w:cstheme="minorBidi"/>
      <w:kern w:val="2"/>
      <w:sz w:val="18"/>
      <w:szCs w:val="18"/>
    </w:rPr>
  </w:style>
  <w:style w:type="character" w:customStyle="1" w:styleId="13">
    <w:name w:val="页脚 字符"/>
    <w:basedOn w:val="10"/>
    <w:link w:val="6"/>
    <w:qFormat/>
    <w:uiPriority w:val="99"/>
    <w:rPr>
      <w:rFonts w:ascii="仿宋_GB2312" w:eastAsia="仿宋_GB2312" w:hAnsiTheme="minorHAnsi" w:cstheme="minorBidi"/>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D574-E6A5-44BD-A3F6-7E49F0D2686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1593</Words>
  <Characters>1694</Characters>
  <Lines>12</Lines>
  <Paragraphs>3</Paragraphs>
  <TotalTime>11</TotalTime>
  <ScaleCrop>false</ScaleCrop>
  <LinksUpToDate>false</LinksUpToDate>
  <CharactersWithSpaces>1735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2024-01-05T07:36:00Z</dcterms:created>
  <dc:creator>小小龙</dc:creator>
  <cp:lastModifiedBy>Administrator</cp:lastModifiedBy>
  <cp:lastPrinted>2024-09-06T09:36:00Z</cp:lastPrinted>
  <dcterms:modified xsi:type="dcterms:W3CDTF">2024-09-11T07:32:25Z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D247B9BCB9364231A673FD94567CFC3F_13</vt:lpwstr>
  </property>
</Properties>
</file>