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u w:val="none"/>
          <w:lang w:eastAsia="zh-CN"/>
        </w:rPr>
        <w:t>泉州市丰泽区</w:t>
      </w:r>
      <w:r>
        <w:rPr>
          <w:rFonts w:hint="eastAsia" w:ascii="方正小标宋简体" w:hAnsi="方正小标宋简体" w:eastAsia="方正小标宋简体" w:cs="方正小标宋简体"/>
          <w:bCs/>
          <w:sz w:val="44"/>
          <w:szCs w:val="44"/>
        </w:rPr>
        <w:t>市场监督管理局</w:t>
      </w:r>
      <w:bookmarkEnd w:id="0"/>
      <w:bookmarkEnd w:id="1"/>
    </w:p>
    <w:p>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560" w:lineRule="exact"/>
        <w:ind w:right="55"/>
        <w:jc w:val="center"/>
        <w:outlineLvl w:val="1"/>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sz w:val="32"/>
          <w:szCs w:val="32"/>
          <w:highlight w:val="none"/>
          <w:u w:val="none"/>
          <w:lang w:eastAsia="zh-CN"/>
        </w:rPr>
        <w:t>泉丰</w:t>
      </w:r>
      <w:r>
        <w:rPr>
          <w:rFonts w:hint="eastAsia" w:ascii="仿宋_GB2312" w:hAnsi="仿宋_GB2312" w:eastAsia="仿宋_GB2312" w:cs="仿宋_GB2312"/>
          <w:bCs/>
          <w:color w:val="000000"/>
          <w:sz w:val="32"/>
          <w:szCs w:val="32"/>
          <w:highlight w:val="none"/>
        </w:rPr>
        <w:t>市监</w:t>
      </w:r>
      <w:r>
        <w:rPr>
          <w:rFonts w:hint="eastAsia" w:ascii="仿宋_GB2312" w:hAnsi="仿宋_GB2312" w:eastAsia="仿宋_GB2312" w:cs="仿宋_GB2312"/>
          <w:bCs/>
          <w:color w:val="000000"/>
          <w:sz w:val="32"/>
          <w:szCs w:val="32"/>
          <w:highlight w:val="none"/>
          <w:u w:val="none"/>
        </w:rPr>
        <w:t>处罚〔</w:t>
      </w:r>
      <w:r>
        <w:rPr>
          <w:rFonts w:hint="eastAsia" w:ascii="仿宋_GB2312" w:hAnsi="仿宋_GB2312" w:eastAsia="仿宋_GB2312" w:cs="仿宋_GB2312"/>
          <w:bCs/>
          <w:color w:val="000000"/>
          <w:sz w:val="32"/>
          <w:szCs w:val="32"/>
          <w:highlight w:val="none"/>
          <w:u w:val="none"/>
          <w:lang w:val="en-US" w:eastAsia="zh-CN"/>
        </w:rPr>
        <w:t>2025</w:t>
      </w:r>
      <w:r>
        <w:rPr>
          <w:rFonts w:hint="eastAsia" w:ascii="仿宋_GB2312" w:hAnsi="仿宋_GB2312" w:eastAsia="仿宋_GB2312" w:cs="仿宋_GB2312"/>
          <w:bCs/>
          <w:color w:val="000000"/>
          <w:sz w:val="32"/>
          <w:szCs w:val="32"/>
          <w:highlight w:val="none"/>
          <w:u w:val="none"/>
        </w:rPr>
        <w:t>〕</w:t>
      </w:r>
      <w:r>
        <w:rPr>
          <w:rFonts w:hint="eastAsia" w:ascii="仿宋_GB2312" w:hAnsi="仿宋_GB2312" w:eastAsia="仿宋_GB2312" w:cs="仿宋_GB2312"/>
          <w:bCs/>
          <w:color w:val="000000"/>
          <w:sz w:val="32"/>
          <w:szCs w:val="32"/>
          <w:highlight w:val="none"/>
          <w:u w:val="none"/>
          <w:lang w:val="en-US" w:eastAsia="zh-CN"/>
        </w:rPr>
        <w:t>118</w:t>
      </w:r>
      <w:r>
        <w:rPr>
          <w:rFonts w:hint="eastAsia" w:ascii="仿宋_GB2312" w:hAnsi="仿宋_GB2312" w:eastAsia="仿宋_GB2312" w:cs="仿宋_GB2312"/>
          <w:bCs/>
          <w:color w:val="000000"/>
          <w:sz w:val="32"/>
          <w:szCs w:val="32"/>
          <w:highlight w:val="none"/>
          <w:u w:val="none"/>
        </w:rPr>
        <w:t>号</w:t>
      </w:r>
    </w:p>
    <w:p>
      <w:pPr>
        <w:widowControl/>
        <w:snapToGrid w:val="0"/>
        <w:spacing w:line="520" w:lineRule="exact"/>
        <w:ind w:right="55" w:firstLine="5440" w:firstLine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Cstb/WAAAADAEAAA8A&#10;AAAAAAAAAQAgAAAAOAAAAGRycy9kb3ducmV2LnhtbFBLAQIUABQAAAAIAIdO4kCZ+HOKAwIAAPgD&#10;AAAOAAAAAAAAAAEAIAAAADsBAABkcnMvZTJvRG9jLnhtbFBLBQYAAAAABgAGAFkBAACwBQ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bidi w:val="0"/>
        <w:snapToGrid/>
        <w:spacing w:line="520" w:lineRule="exact"/>
        <w:ind w:left="140" w:hanging="14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lang w:val="en-US" w:eastAsia="zh-CN"/>
        </w:rPr>
        <w:t>天玉（厦门）商业保理有限公司泉州分公司</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kern w:val="1"/>
          <w:sz w:val="32"/>
          <w:szCs w:val="32"/>
          <w:u w:val="none"/>
        </w:rPr>
        <w:t xml:space="preserve">   </w:t>
      </w:r>
    </w:p>
    <w:p>
      <w:pPr>
        <w:keepNext w:val="0"/>
        <w:keepLines w:val="0"/>
        <w:pageBreakBefore w:val="0"/>
        <w:widowControl w:val="0"/>
        <w:kinsoku/>
        <w:wordWrap/>
        <w:overflowPunct/>
        <w:topLinePunct w:val="0"/>
        <w:bidi w:val="0"/>
        <w:snapToGrid/>
        <w:spacing w:line="520" w:lineRule="exact"/>
        <w:ind w:left="140" w:hanging="1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kern w:val="1"/>
          <w:sz w:val="32"/>
          <w:szCs w:val="32"/>
          <w:u w:val="none"/>
        </w:rPr>
        <w:t>主体资格证照</w:t>
      </w:r>
      <w:r>
        <w:rPr>
          <w:rFonts w:hint="eastAsia" w:ascii="仿宋_GB2312" w:hAnsi="仿宋_GB2312" w:eastAsia="仿宋_GB2312" w:cs="仿宋_GB2312"/>
          <w:kern w:val="1"/>
          <w:sz w:val="32"/>
          <w:szCs w:val="32"/>
          <w:u w:val="none"/>
        </w:rPr>
        <w:t>名称：</w:t>
      </w:r>
      <w:r>
        <w:rPr>
          <w:rFonts w:hint="eastAsia" w:ascii="仿宋_GB2312" w:hAnsi="仿宋_GB2312" w:eastAsia="仿宋_GB2312" w:cs="仿宋_GB2312"/>
          <w:kern w:val="1"/>
          <w:sz w:val="32"/>
          <w:szCs w:val="32"/>
          <w:u w:val="none"/>
          <w:lang w:val="en-US" w:eastAsia="zh-CN"/>
        </w:rPr>
        <w:t>营业执照</w:t>
      </w:r>
      <w:r>
        <w:rPr>
          <w:rFonts w:hint="eastAsia" w:ascii="仿宋_GB2312" w:hAnsi="仿宋_GB2312" w:eastAsia="仿宋_GB2312" w:cs="仿宋_GB2312"/>
          <w:kern w:val="1"/>
          <w:sz w:val="32"/>
          <w:szCs w:val="32"/>
          <w:u w:val="none"/>
        </w:rPr>
        <w:t xml:space="preserve">   </w:t>
      </w:r>
    </w:p>
    <w:p>
      <w:pPr>
        <w:keepNext w:val="0"/>
        <w:keepLines w:val="0"/>
        <w:pageBreakBefore w:val="0"/>
        <w:widowControl w:val="0"/>
        <w:kinsoku/>
        <w:wordWrap/>
        <w:overflowPunct/>
        <w:topLinePunct w:val="0"/>
        <w:bidi w:val="0"/>
        <w:snapToGrid/>
        <w:spacing w:line="520" w:lineRule="exact"/>
        <w:ind w:left="140" w:hanging="140"/>
        <w:jc w:val="both"/>
        <w:textAlignment w:val="auto"/>
        <w:rPr>
          <w:rFonts w:hint="eastAsia" w:ascii="仿宋_GB2312" w:hAnsi="仿宋_GB2312" w:eastAsia="仿宋_GB2312" w:cs="仿宋_GB2312"/>
          <w:kern w:val="1"/>
          <w:sz w:val="32"/>
          <w:szCs w:val="32"/>
          <w:u w:val="none"/>
        </w:rPr>
      </w:pPr>
      <w:r>
        <w:rPr>
          <w:rFonts w:hint="eastAsia" w:ascii="仿宋_GB2312" w:hAnsi="仿宋_GB2312" w:eastAsia="仿宋_GB2312" w:cs="仿宋_GB2312"/>
          <w:kern w:val="1"/>
          <w:sz w:val="32"/>
          <w:szCs w:val="32"/>
          <w:u w:val="none"/>
        </w:rPr>
        <w:t>统一社会信用代码：</w:t>
      </w:r>
      <w:r>
        <w:rPr>
          <w:rFonts w:hint="eastAsia" w:ascii="仿宋_GB2312" w:hAnsi="仿宋_GB2312" w:eastAsia="仿宋_GB2312" w:cs="仿宋_GB2312"/>
          <w:kern w:val="1"/>
          <w:sz w:val="32"/>
          <w:szCs w:val="32"/>
          <w:u w:val="none"/>
          <w:lang w:val="en-US" w:eastAsia="zh-CN"/>
        </w:rPr>
        <w:t>91350503MA31PNJP8H</w:t>
      </w:r>
      <w:r>
        <w:rPr>
          <w:rFonts w:hint="eastAsia" w:ascii="仿宋_GB2312" w:hAnsi="仿宋_GB2312" w:eastAsia="仿宋_GB2312" w:cs="仿宋_GB2312"/>
          <w:kern w:val="1"/>
          <w:sz w:val="32"/>
          <w:szCs w:val="32"/>
          <w:u w:val="none"/>
        </w:rPr>
        <w:t xml:space="preserve">                                      </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hAnsi="仿宋_GB2312" w:eastAsia="仿宋_GB2312" w:cs="仿宋_GB2312"/>
          <w:kern w:val="1"/>
          <w:sz w:val="32"/>
          <w:szCs w:val="32"/>
          <w:u w:val="none"/>
        </w:rPr>
      </w:pPr>
      <w:r>
        <w:rPr>
          <w:rFonts w:hint="eastAsia" w:ascii="仿宋_GB2312" w:hAnsi="仿宋_GB2312" w:eastAsia="仿宋_GB2312" w:cs="仿宋_GB2312"/>
          <w:kern w:val="1"/>
          <w:sz w:val="32"/>
          <w:szCs w:val="32"/>
          <w:u w:val="none"/>
        </w:rPr>
        <w:t>住所（住址）：</w:t>
      </w:r>
      <w:r>
        <w:rPr>
          <w:rFonts w:hint="eastAsia" w:ascii="仿宋_GB2312" w:hAnsi="仿宋_GB2312" w:eastAsia="仿宋_GB2312" w:cs="仿宋_GB2312"/>
          <w:kern w:val="1"/>
          <w:sz w:val="32"/>
          <w:szCs w:val="32"/>
          <w:u w:val="none"/>
          <w:lang w:val="en-US" w:eastAsia="zh-CN"/>
        </w:rPr>
        <w:t>泉州市丰泽区东海街道杰利大厦二楼206</w:t>
      </w:r>
      <w:r>
        <w:rPr>
          <w:rFonts w:hint="eastAsia" w:ascii="仿宋_GB2312" w:hAnsi="仿宋_GB2312" w:eastAsia="仿宋_GB2312" w:cs="仿宋_GB2312"/>
          <w:kern w:val="1"/>
          <w:sz w:val="32"/>
          <w:szCs w:val="32"/>
          <w:u w:val="none"/>
        </w:rPr>
        <w:t xml:space="preserve">                                           </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eastAsia="zh-CN"/>
        </w:rPr>
        <w:t>负责人</w:t>
      </w:r>
      <w:r>
        <w:rPr>
          <w:rFonts w:hint="eastAsia" w:ascii="仿宋_GB2312" w:hAnsi="仿宋_GB2312" w:eastAsia="仿宋_GB2312" w:cs="仿宋_GB2312"/>
          <w:kern w:val="1"/>
          <w:sz w:val="32"/>
          <w:szCs w:val="32"/>
          <w:u w:val="none"/>
        </w:rPr>
        <w:t>：</w:t>
      </w:r>
      <w:r>
        <w:rPr>
          <w:rFonts w:hint="eastAsia" w:ascii="仿宋_GB2312" w:hAnsi="仿宋_GB2312" w:eastAsia="仿宋_GB2312" w:cs="仿宋_GB2312"/>
          <w:kern w:val="1"/>
          <w:sz w:val="32"/>
          <w:szCs w:val="32"/>
          <w:u w:val="none"/>
          <w:lang w:val="en-US" w:eastAsia="zh-CN"/>
        </w:rPr>
        <w:fldChar w:fldCharType="begin"/>
      </w:r>
      <w:r>
        <w:rPr>
          <w:rFonts w:hint="eastAsia" w:ascii="仿宋_GB2312" w:hAnsi="仿宋_GB2312" w:eastAsia="仿宋_GB2312" w:cs="仿宋_GB2312"/>
          <w:kern w:val="1"/>
          <w:sz w:val="32"/>
          <w:szCs w:val="32"/>
          <w:u w:val="none"/>
          <w:lang w:val="en-US" w:eastAsia="zh-CN"/>
        </w:rPr>
        <w:instrText xml:space="preserve"> HYPERLINK "https://www.qcc.com/pl/pr4a0959fc36e56ee5264b64f6c9de61.html" \t "/Users/liujiarong/Documents\\x/_blank" </w:instrText>
      </w:r>
      <w:r>
        <w:rPr>
          <w:rFonts w:hint="eastAsia" w:ascii="仿宋_GB2312" w:hAnsi="仿宋_GB2312" w:eastAsia="仿宋_GB2312" w:cs="仿宋_GB2312"/>
          <w:kern w:val="1"/>
          <w:sz w:val="32"/>
          <w:szCs w:val="32"/>
          <w:u w:val="none"/>
          <w:lang w:val="en-US" w:eastAsia="zh-CN"/>
        </w:rPr>
        <w:fldChar w:fldCharType="separate"/>
      </w:r>
      <w:r>
        <w:rPr>
          <w:rFonts w:hint="eastAsia" w:ascii="仿宋_GB2312" w:hAnsi="仿宋_GB2312" w:eastAsia="仿宋_GB2312" w:cs="仿宋_GB2312"/>
          <w:kern w:val="1"/>
          <w:sz w:val="32"/>
          <w:szCs w:val="32"/>
          <w:u w:val="none"/>
          <w:lang w:val="en-US" w:eastAsia="zh-CN"/>
        </w:rPr>
        <w:t>李光辉</w:t>
      </w:r>
      <w:r>
        <w:rPr>
          <w:rFonts w:hint="eastAsia" w:ascii="仿宋_GB2312" w:hAnsi="仿宋_GB2312" w:eastAsia="仿宋_GB2312" w:cs="仿宋_GB2312"/>
          <w:kern w:val="1"/>
          <w:sz w:val="32"/>
          <w:szCs w:val="32"/>
          <w:u w:val="none"/>
          <w:lang w:val="en-US" w:eastAsia="zh-CN"/>
        </w:rPr>
        <w:fldChar w:fldCharType="end"/>
      </w:r>
    </w:p>
    <w:p>
      <w:pPr>
        <w:pStyle w:val="4"/>
        <w:keepNext w:val="0"/>
        <w:keepLines w:val="0"/>
        <w:pageBreakBefore w:val="0"/>
        <w:widowControl w:val="0"/>
        <w:tabs>
          <w:tab w:val="left" w:pos="8240"/>
        </w:tabs>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 w:val="0"/>
          <w:bCs/>
          <w:color w:val="231F20"/>
          <w:u w:val="none" w:color="auto"/>
        </w:rPr>
      </w:pPr>
    </w:p>
    <w:p>
      <w:pPr>
        <w:pStyle w:val="4"/>
        <w:keepNext w:val="0"/>
        <w:keepLines w:val="0"/>
        <w:pageBreakBefore w:val="0"/>
        <w:widowControl w:val="0"/>
        <w:tabs>
          <w:tab w:val="left" w:pos="8240"/>
        </w:tabs>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 w:val="0"/>
          <w:bCs/>
          <w:color w:val="231F20"/>
          <w:u w:val="none" w:color="auto"/>
        </w:rPr>
      </w:pPr>
      <w:r>
        <w:rPr>
          <w:rFonts w:hint="eastAsia" w:ascii="仿宋_GB2312" w:hAnsi="仿宋_GB2312" w:eastAsia="仿宋_GB2312" w:cs="仿宋_GB2312"/>
          <w:b w:val="0"/>
          <w:bCs/>
          <w:color w:val="231F20"/>
          <w:u w:val="none" w:color="auto"/>
        </w:rPr>
        <w:t>因当事人</w:t>
      </w:r>
      <w:r>
        <w:rPr>
          <w:rFonts w:hint="eastAsia" w:ascii="仿宋_GB2312" w:hAnsi="仿宋_GB2312" w:eastAsia="仿宋_GB2312" w:cs="仿宋_GB2312"/>
          <w:sz w:val="32"/>
          <w:szCs w:val="32"/>
          <w:u w:val="none"/>
        </w:rPr>
        <w:t>未申报并公示20</w:t>
      </w:r>
      <w:r>
        <w:rPr>
          <w:rFonts w:hint="eastAsia" w:ascii="仿宋_GB2312" w:hAnsi="仿宋_GB2312" w:eastAsia="仿宋_GB2312" w:cs="仿宋_GB2312"/>
          <w:sz w:val="32"/>
          <w:szCs w:val="32"/>
          <w:u w:val="none"/>
          <w:lang w:val="en-US" w:eastAsia="zh-CN"/>
        </w:rPr>
        <w:t>23</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年度报告被列入经营异常名录</w:t>
      </w:r>
      <w:r>
        <w:rPr>
          <w:rFonts w:hint="eastAsia" w:ascii="仿宋_GB2312" w:hAnsi="仿宋_GB2312" w:eastAsia="仿宋_GB2312" w:cs="仿宋_GB2312"/>
          <w:sz w:val="32"/>
          <w:szCs w:val="32"/>
          <w:u w:val="none"/>
          <w:lang w:val="en-US" w:eastAsia="zh-CN"/>
        </w:rPr>
        <w:t>未改正</w:t>
      </w:r>
      <w:r>
        <w:rPr>
          <w:rFonts w:hint="eastAsia" w:ascii="仿宋_GB2312" w:hAnsi="仿宋_GB2312" w:eastAsia="仿宋_GB2312" w:cs="仿宋_GB2312"/>
          <w:b w:val="0"/>
          <w:bCs/>
          <w:color w:val="231F20"/>
          <w:u w:val="none" w:color="auto"/>
        </w:rPr>
        <w:t>，</w:t>
      </w:r>
      <w:r>
        <w:rPr>
          <w:rFonts w:hint="eastAsia" w:ascii="仿宋_GB2312" w:hAnsi="仿宋_GB2312" w:eastAsia="仿宋_GB2312" w:cs="仿宋_GB2312"/>
          <w:b w:val="0"/>
          <w:bCs/>
          <w:color w:val="231F20"/>
          <w:u w:val="none" w:color="auto"/>
          <w:lang w:eastAsia="zh-CN"/>
        </w:rPr>
        <w:t>本局</w:t>
      </w:r>
      <w:r>
        <w:rPr>
          <w:rFonts w:hint="eastAsia" w:ascii="仿宋_GB2312" w:hAnsi="仿宋_GB2312" w:eastAsia="仿宋_GB2312" w:cs="仿宋_GB2312"/>
          <w:b w:val="0"/>
          <w:bCs/>
          <w:color w:val="231F20"/>
          <w:u w:val="none" w:color="auto"/>
        </w:rPr>
        <w:t>执法人员对当事人登记住所开展现场核查，发现当事人</w:t>
      </w:r>
      <w:r>
        <w:rPr>
          <w:rFonts w:hint="eastAsia" w:ascii="仿宋_GB2312" w:hAnsi="仿宋_GB2312" w:eastAsia="仿宋_GB2312" w:cs="仿宋_GB2312"/>
          <w:sz w:val="32"/>
          <w:szCs w:val="32"/>
          <w:u w:val="none"/>
        </w:rPr>
        <w:t>通过登记的住所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经营场所）</w:t>
      </w:r>
      <w:r>
        <w:rPr>
          <w:rFonts w:hint="eastAsia" w:ascii="仿宋_GB2312" w:hAnsi="仿宋_GB2312" w:eastAsia="仿宋_GB2312" w:cs="仿宋_GB2312"/>
          <w:sz w:val="32"/>
          <w:szCs w:val="32"/>
          <w:u w:val="none"/>
        </w:rPr>
        <w:t>无法取得联系</w:t>
      </w:r>
      <w:r>
        <w:rPr>
          <w:rFonts w:hint="eastAsia" w:ascii="仿宋_GB2312" w:hAnsi="仿宋_GB2312" w:eastAsia="仿宋_GB2312" w:cs="仿宋_GB2312"/>
          <w:b w:val="0"/>
          <w:bCs/>
          <w:color w:val="231F20"/>
          <w:u w:val="none" w:color="auto"/>
        </w:rPr>
        <w:t>，涉嫌</w:t>
      </w:r>
      <w:r>
        <w:rPr>
          <w:rFonts w:hint="eastAsia" w:ascii="仿宋_GB2312" w:hAnsi="仿宋_GB2312" w:eastAsia="仿宋_GB2312" w:cs="仿宋_GB2312"/>
          <w:bCs/>
          <w:sz w:val="32"/>
          <w:szCs w:val="32"/>
        </w:rPr>
        <w:t>连续2年未按规定报送年度报告被列入</w:t>
      </w:r>
      <w:r>
        <w:rPr>
          <w:rFonts w:hint="eastAsia" w:ascii="仿宋_GB2312" w:hAnsi="仿宋_GB2312" w:eastAsia="仿宋_GB2312" w:cs="仿宋_GB2312"/>
          <w:sz w:val="32"/>
          <w:szCs w:val="32"/>
          <w:u w:val="none"/>
        </w:rPr>
        <w:t>经营异常名录未改正，且通过登记的住所或者经营场所无法取得联系</w:t>
      </w:r>
      <w:r>
        <w:rPr>
          <w:rFonts w:hint="eastAsia" w:ascii="仿宋_GB2312" w:hAnsi="仿宋_GB2312" w:eastAsia="仿宋_GB2312" w:cs="仿宋_GB2312"/>
          <w:b w:val="0"/>
          <w:bCs/>
          <w:color w:val="231F20"/>
          <w:u w:val="none" w:color="auto"/>
        </w:rPr>
        <w:t>，依据</w:t>
      </w:r>
      <w:r>
        <w:rPr>
          <w:rFonts w:hint="eastAsia" w:ascii="仿宋_GB2312" w:hAnsi="仿宋_GB2312" w:eastAsia="仿宋_GB2312" w:cs="仿宋_GB2312"/>
          <w:sz w:val="32"/>
          <w:szCs w:val="32"/>
          <w:u w:val="none"/>
        </w:rPr>
        <w:t>《企业信息公示暂行条例》第十八条第一款</w:t>
      </w:r>
      <w:r>
        <w:rPr>
          <w:rFonts w:hint="eastAsia" w:ascii="仿宋_GB2312" w:hAnsi="仿宋_GB2312" w:eastAsia="仿宋_GB2312" w:cs="仿宋_GB2312"/>
          <w:sz w:val="32"/>
          <w:szCs w:val="32"/>
          <w:u w:val="none"/>
          <w:lang w:val="en-US" w:eastAsia="zh-CN"/>
        </w:rPr>
        <w:t>的规定，</w:t>
      </w:r>
      <w:r>
        <w:rPr>
          <w:rFonts w:hint="eastAsia" w:ascii="仿宋_GB2312" w:hAnsi="仿宋_GB2312" w:eastAsia="仿宋_GB2312" w:cs="仿宋_GB2312"/>
          <w:b w:val="0"/>
          <w:bCs/>
          <w:color w:val="231F20"/>
          <w:u w:val="none" w:color="auto"/>
          <w:lang w:eastAsia="zh-CN"/>
        </w:rPr>
        <w:t>本局</w:t>
      </w:r>
      <w:r>
        <w:rPr>
          <w:rFonts w:hint="eastAsia" w:ascii="仿宋_GB2312" w:hAnsi="仿宋_GB2312" w:eastAsia="仿宋_GB2312" w:cs="仿宋_GB2312"/>
          <w:b w:val="0"/>
          <w:bCs/>
          <w:color w:val="231F20"/>
          <w:u w:val="none" w:color="auto"/>
        </w:rPr>
        <w:t>于2025年</w:t>
      </w:r>
      <w:r>
        <w:rPr>
          <w:rFonts w:hint="eastAsia" w:ascii="仿宋_GB2312" w:hAnsi="仿宋_GB2312" w:eastAsia="仿宋_GB2312" w:cs="仿宋_GB2312"/>
          <w:b w:val="0"/>
          <w:bCs/>
          <w:color w:val="231F20"/>
          <w:u w:val="none" w:color="auto"/>
          <w:lang w:val="en-US" w:eastAsia="zh-CN"/>
        </w:rPr>
        <w:t>10</w:t>
      </w:r>
      <w:r>
        <w:rPr>
          <w:rFonts w:hint="eastAsia" w:ascii="仿宋_GB2312" w:hAnsi="仿宋_GB2312" w:eastAsia="仿宋_GB2312" w:cs="仿宋_GB2312"/>
          <w:b w:val="0"/>
          <w:bCs/>
          <w:color w:val="231F20"/>
          <w:u w:val="none" w:color="auto"/>
        </w:rPr>
        <w:t>月</w:t>
      </w:r>
      <w:r>
        <w:rPr>
          <w:rFonts w:hint="eastAsia" w:ascii="仿宋_GB2312" w:hAnsi="仿宋_GB2312" w:eastAsia="仿宋_GB2312" w:cs="仿宋_GB2312"/>
          <w:b w:val="0"/>
          <w:bCs/>
          <w:color w:val="231F20"/>
          <w:u w:val="none" w:color="auto"/>
          <w:lang w:val="en-US" w:eastAsia="zh-CN"/>
        </w:rPr>
        <w:t>23</w:t>
      </w:r>
      <w:r>
        <w:rPr>
          <w:rFonts w:hint="eastAsia" w:ascii="仿宋_GB2312" w:hAnsi="仿宋_GB2312" w:eastAsia="仿宋_GB2312" w:cs="仿宋_GB2312"/>
          <w:b w:val="0"/>
          <w:bCs/>
          <w:color w:val="231F20"/>
          <w:u w:val="none" w:color="auto"/>
        </w:rPr>
        <w:t>日对上述当事人予以立案调查。</w:t>
      </w:r>
    </w:p>
    <w:p>
      <w:pPr>
        <w:spacing w:line="52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本局执法人员通过电话、市场主体住所（经营场所）实地走访等方式对当事人进行核查，通过当事人登记的住所、联系方式无法取得联系。2025年7月28日，我局在泉州市丰泽区人民政府政务网及“丰泽市场监管”公众号发布《泉州市丰泽区市场监督管理局关于2023年、2024年连续两个年度未年报企业名单的通告》，通知当事人于通告发布之日起三十日内履行相关义务。当事人至今均未按要求履行公示义务，也未办理注销登记。</w:t>
      </w:r>
    </w:p>
    <w:p>
      <w:pPr>
        <w:pStyle w:val="4"/>
        <w:keepNext w:val="0"/>
        <w:keepLines w:val="0"/>
        <w:pageBreakBefore w:val="0"/>
        <w:widowControl w:val="0"/>
        <w:tabs>
          <w:tab w:val="left" w:pos="8240"/>
        </w:tabs>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 w:val="0"/>
          <w:bCs/>
          <w:color w:val="231F20"/>
          <w:u w:val="none" w:color="auto"/>
        </w:rPr>
      </w:pPr>
      <w:r>
        <w:rPr>
          <w:rFonts w:hint="eastAsia" w:ascii="仿宋_GB2312" w:hAnsi="仿宋_GB2312" w:eastAsia="仿宋_GB2312" w:cs="仿宋_GB2312"/>
          <w:b w:val="0"/>
          <w:bCs/>
          <w:color w:val="231F20"/>
          <w:u w:val="none" w:color="auto"/>
        </w:rPr>
        <w:t>经查明，当事人未申报2023、2024年度报告被本局依法列入经营异常名录未改正，且通过登记的住所或者经营场所无法取得联系。综上，当事人连续2年未按规定报送年度报告被列入经营异常名录未改正，且通过登记的住所或者经营场所无法取得联系。</w:t>
      </w:r>
    </w:p>
    <w:p>
      <w:pPr>
        <w:pStyle w:val="4"/>
        <w:keepNext w:val="0"/>
        <w:keepLines w:val="0"/>
        <w:pageBreakBefore w:val="0"/>
        <w:widowControl w:val="0"/>
        <w:tabs>
          <w:tab w:val="left" w:pos="9060"/>
        </w:tabs>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kern w:val="1"/>
        </w:rPr>
      </w:pPr>
      <w:r>
        <w:rPr>
          <w:rFonts w:hint="eastAsia" w:ascii="仿宋_GB2312" w:hAnsi="仿宋_GB2312" w:eastAsia="仿宋_GB2312" w:cs="仿宋_GB2312"/>
          <w:kern w:val="1"/>
        </w:rPr>
        <w:t>上述事实，主要有以下证据证明：</w:t>
      </w:r>
    </w:p>
    <w:p>
      <w:pPr>
        <w:numPr>
          <w:ilvl w:val="0"/>
          <w:numId w:val="0"/>
        </w:numPr>
        <w:spacing w:line="52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内资企业登记基本信息表</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份，证明当事人基本登记情况</w:t>
      </w:r>
      <w:r>
        <w:rPr>
          <w:rFonts w:hint="eastAsia" w:ascii="仿宋_GB2312" w:hAnsi="仿宋_GB2312" w:eastAsia="仿宋_GB2312" w:cs="仿宋_GB2312"/>
          <w:sz w:val="32"/>
          <w:szCs w:val="32"/>
          <w:u w:val="none"/>
          <w:lang w:eastAsia="zh-CN"/>
        </w:rPr>
        <w:t>；</w:t>
      </w:r>
    </w:p>
    <w:p>
      <w:pPr>
        <w:numPr>
          <w:ilvl w:val="0"/>
          <w:numId w:val="0"/>
        </w:num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福建省市场监管智慧应用一体化平台企业相关信息截图</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份，</w:t>
      </w:r>
      <w:r>
        <w:rPr>
          <w:rFonts w:hint="eastAsia" w:ascii="仿宋_GB2312" w:hAnsi="仿宋_GB2312" w:eastAsia="仿宋_GB2312" w:cs="仿宋_GB2312"/>
          <w:sz w:val="32"/>
          <w:szCs w:val="32"/>
          <w:u w:val="none"/>
          <w:lang w:eastAsia="zh-CN"/>
        </w:rPr>
        <w:t>证明当事人</w:t>
      </w:r>
      <w:r>
        <w:rPr>
          <w:rFonts w:hint="eastAsia" w:ascii="仿宋_GB2312" w:hAnsi="仿宋_GB2312" w:eastAsia="仿宋_GB2312" w:cs="仿宋_GB2312"/>
          <w:sz w:val="32"/>
          <w:szCs w:val="32"/>
          <w:u w:val="none"/>
          <w:lang w:val="en-US" w:eastAsia="zh-CN"/>
        </w:rPr>
        <w:t>2023、2024</w:t>
      </w:r>
      <w:r>
        <w:rPr>
          <w:rFonts w:hint="eastAsia" w:ascii="仿宋_GB2312" w:hAnsi="仿宋_GB2312" w:eastAsia="仿宋_GB2312" w:cs="仿宋_GB2312"/>
          <w:sz w:val="32"/>
          <w:szCs w:val="32"/>
          <w:u w:val="none"/>
          <w:lang w:eastAsia="zh-CN"/>
        </w:rPr>
        <w:t>连续两个年度未年报且被本局依法列入经营异常名录未改正的事实；</w:t>
      </w:r>
    </w:p>
    <w:p>
      <w:pPr>
        <w:spacing w:line="52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3.《市场主体住所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经营场所</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现场核查情况表》</w:t>
      </w:r>
      <w:r>
        <w:rPr>
          <w:rFonts w:hint="eastAsia" w:ascii="仿宋_GB2312" w:hAnsi="仿宋_GB2312" w:eastAsia="仿宋_GB2312" w:cs="仿宋_GB2312"/>
          <w:sz w:val="32"/>
          <w:szCs w:val="32"/>
          <w:u w:val="none"/>
          <w:lang w:val="en-US" w:eastAsia="zh-CN"/>
        </w:rPr>
        <w:t>1份、短信截图1份</w:t>
      </w:r>
      <w:r>
        <w:rPr>
          <w:rFonts w:hint="eastAsia" w:ascii="仿宋_GB2312" w:hAnsi="仿宋_GB2312" w:eastAsia="仿宋_GB2312" w:cs="仿宋_GB2312"/>
          <w:sz w:val="32"/>
          <w:szCs w:val="32"/>
          <w:u w:val="none"/>
        </w:rPr>
        <w:t>，证明当事人通过登记的住所或者经营场所无法取得联系</w:t>
      </w:r>
      <w:r>
        <w:rPr>
          <w:rFonts w:hint="eastAsia" w:ascii="仿宋_GB2312" w:hAnsi="仿宋_GB2312" w:eastAsia="仿宋_GB2312" w:cs="仿宋_GB2312"/>
          <w:sz w:val="32"/>
          <w:szCs w:val="32"/>
          <w:u w:val="none"/>
          <w:lang w:eastAsia="zh-CN"/>
        </w:rPr>
        <w:t>；</w:t>
      </w:r>
    </w:p>
    <w:p>
      <w:pPr>
        <w:spacing w:line="520" w:lineRule="exact"/>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u w:val="none"/>
        </w:rPr>
        <w:t>4.《</w:t>
      </w:r>
      <w:r>
        <w:rPr>
          <w:rFonts w:hint="eastAsia" w:ascii="仿宋_GB2312" w:hAnsi="仿宋_GB2312" w:eastAsia="仿宋_GB2312" w:cs="仿宋_GB2312"/>
          <w:sz w:val="32"/>
          <w:szCs w:val="32"/>
          <w:highlight w:val="none"/>
          <w:u w:val="none"/>
        </w:rPr>
        <w:t>泉州市丰泽区市场监督管理局关于2023年、2024年连续两个年度未年报企业名单的通告》</w:t>
      </w:r>
      <w:r>
        <w:rPr>
          <w:rFonts w:hint="eastAsia" w:ascii="仿宋_GB2312" w:hAnsi="仿宋_GB2312" w:eastAsia="仿宋_GB2312" w:cs="仿宋_GB2312"/>
          <w:sz w:val="32"/>
          <w:szCs w:val="32"/>
          <w:highlight w:val="none"/>
          <w:u w:val="none"/>
          <w:lang w:val="en-US" w:eastAsia="zh-CN"/>
        </w:rPr>
        <w:t>网页截图及</w:t>
      </w:r>
      <w:r>
        <w:rPr>
          <w:rFonts w:hint="eastAsia" w:ascii="仿宋_GB2312" w:hAnsi="仿宋_GB2312" w:eastAsia="仿宋_GB2312" w:cs="仿宋_GB2312"/>
          <w:sz w:val="32"/>
          <w:szCs w:val="32"/>
          <w:highlight w:val="none"/>
          <w:u w:val="none"/>
        </w:rPr>
        <w:t>附件截图，证明我局在</w:t>
      </w:r>
      <w:r>
        <w:rPr>
          <w:rFonts w:hint="eastAsia" w:ascii="仿宋_GB2312" w:hAnsi="仿宋_GB2312" w:eastAsia="仿宋_GB2312" w:cs="仿宋_GB2312"/>
          <w:sz w:val="32"/>
          <w:szCs w:val="32"/>
          <w:highlight w:val="none"/>
          <w:u w:val="none"/>
          <w:lang w:val="en-US" w:eastAsia="zh-CN"/>
        </w:rPr>
        <w:t>泉州市丰泽区</w:t>
      </w:r>
      <w:r>
        <w:rPr>
          <w:rFonts w:hint="eastAsia" w:ascii="仿宋_GB2312" w:hAnsi="仿宋_GB2312" w:eastAsia="仿宋_GB2312" w:cs="仿宋_GB2312"/>
          <w:sz w:val="32"/>
          <w:szCs w:val="32"/>
          <w:highlight w:val="none"/>
          <w:u w:val="none"/>
        </w:rPr>
        <w:t>人民政府政务网</w:t>
      </w:r>
      <w:r>
        <w:rPr>
          <w:rFonts w:hint="eastAsia" w:ascii="仿宋_GB2312" w:hAnsi="仿宋_GB2312" w:eastAsia="仿宋_GB2312" w:cs="仿宋_GB2312"/>
          <w:sz w:val="32"/>
          <w:szCs w:val="32"/>
          <w:highlight w:val="none"/>
          <w:u w:val="none"/>
          <w:lang w:val="en-US" w:eastAsia="zh-CN"/>
        </w:rPr>
        <w:t>及“丰泽市场监管”公众号</w:t>
      </w:r>
      <w:r>
        <w:rPr>
          <w:rFonts w:hint="eastAsia" w:ascii="仿宋_GB2312" w:hAnsi="仿宋_GB2312" w:eastAsia="仿宋_GB2312" w:cs="仿宋_GB2312"/>
          <w:sz w:val="32"/>
          <w:szCs w:val="32"/>
          <w:highlight w:val="none"/>
          <w:u w:val="none"/>
        </w:rPr>
        <w:t>发布公告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督促当事人履行相关公示义务或办理有关注销登记的情况</w:t>
      </w:r>
      <w:r>
        <w:rPr>
          <w:rFonts w:hint="eastAsia" w:ascii="仿宋_GB2312" w:hAnsi="仿宋_GB2312" w:eastAsia="仿宋_GB2312" w:cs="仿宋_GB2312"/>
          <w:sz w:val="32"/>
          <w:szCs w:val="32"/>
          <w:highlight w:val="none"/>
          <w:u w:val="none"/>
          <w:lang w:eastAsia="zh-CN"/>
        </w:rPr>
        <w:t>；</w:t>
      </w:r>
    </w:p>
    <w:p>
      <w:pPr>
        <w:pStyle w:val="4"/>
        <w:keepNext w:val="0"/>
        <w:keepLines w:val="0"/>
        <w:pageBreakBefore w:val="0"/>
        <w:widowControl w:val="0"/>
        <w:tabs>
          <w:tab w:val="left" w:pos="8405"/>
        </w:tabs>
        <w:kinsoku/>
        <w:wordWrap/>
        <w:overflowPunct/>
        <w:topLinePunct w:val="0"/>
        <w:bidi w:val="0"/>
        <w:snapToGrid/>
        <w:spacing w:line="52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本局已依法送达行政处罚听证告知书，告知本局拟作出行政处罚的事实、理由、依据、处罚内容及其享有的权利。在法定期限内，当事人未提出陈述、申辩意见，未提出听证要求。</w:t>
      </w:r>
    </w:p>
    <w:p>
      <w:pPr>
        <w:pStyle w:val="4"/>
        <w:keepNext w:val="0"/>
        <w:keepLines w:val="0"/>
        <w:pageBreakBefore w:val="0"/>
        <w:widowControl w:val="0"/>
        <w:tabs>
          <w:tab w:val="left" w:pos="8405"/>
        </w:tabs>
        <w:kinsoku/>
        <w:wordWrap/>
        <w:overflowPunct/>
        <w:topLinePunct w:val="0"/>
        <w:bidi w:val="0"/>
        <w:snapToGrid/>
        <w:spacing w:line="520" w:lineRule="exact"/>
        <w:ind w:firstLine="627" w:firstLineChars="196"/>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本局认为，当事人未申报2023、2024年度报告被本局依法列入经营异常名录未改正，且通过登记的住所或者经营场所无法取得联系，该行为违反了</w:t>
      </w:r>
      <w:r>
        <w:rPr>
          <w:rFonts w:hint="eastAsia" w:ascii="仿宋_GB2312" w:hAnsi="仿宋_GB2312" w:eastAsia="仿宋_GB2312" w:cs="仿宋_GB2312"/>
          <w:sz w:val="32"/>
          <w:szCs w:val="32"/>
          <w:u w:val="none"/>
          <w:lang w:val="en-US" w:eastAsia="zh-CN"/>
        </w:rPr>
        <w:t xml:space="preserve">《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 </w:t>
      </w:r>
    </w:p>
    <w:p>
      <w:pPr>
        <w:pStyle w:val="4"/>
        <w:keepNext w:val="0"/>
        <w:keepLines w:val="0"/>
        <w:pageBreakBefore w:val="0"/>
        <w:widowControl w:val="0"/>
        <w:tabs>
          <w:tab w:val="left" w:pos="8405"/>
        </w:tabs>
        <w:kinsoku/>
        <w:wordWrap/>
        <w:overflowPunct/>
        <w:topLinePunct w:val="0"/>
        <w:bidi w:val="0"/>
        <w:snapToGrid/>
        <w:spacing w:line="520" w:lineRule="exact"/>
        <w:ind w:firstLine="627" w:firstLineChars="196"/>
        <w:jc w:val="both"/>
        <w:textAlignment w:val="auto"/>
        <w:rPr>
          <w:rFonts w:hint="eastAsia" w:ascii="仿宋_GB2312" w:hAnsi="仿宋_GB2312" w:eastAsia="仿宋_GB2312" w:cs="仿宋_GB2312"/>
          <w:sz w:val="32"/>
          <w:szCs w:val="32"/>
          <w:u w:val="none"/>
          <w:lang w:val="en-US" w:eastAsia="zh-CN"/>
        </w:rPr>
      </w:pPr>
      <w:bookmarkStart w:id="3" w:name="_GoBack"/>
      <w:bookmarkEnd w:id="3"/>
      <w:r>
        <w:rPr>
          <w:rFonts w:hint="eastAsia" w:ascii="仿宋_GB2312" w:hAnsi="仿宋_GB2312" w:eastAsia="仿宋_GB2312" w:cs="仿宋_GB2312"/>
          <w:sz w:val="32"/>
          <w:szCs w:val="32"/>
          <w:u w:val="none"/>
          <w:lang w:val="en-US" w:eastAsia="zh-CN"/>
        </w:rPr>
        <w:t>依据《企业信息公示暂行条例》第十八条第一款的规定，本局决定对当事人作出如下处罚：吊销营业执照。</w:t>
      </w:r>
    </w:p>
    <w:p>
      <w:pPr>
        <w:pStyle w:val="4"/>
        <w:keepNext w:val="0"/>
        <w:keepLines w:val="0"/>
        <w:pageBreakBefore w:val="0"/>
        <w:widowControl w:val="0"/>
        <w:tabs>
          <w:tab w:val="left" w:pos="8405"/>
        </w:tabs>
        <w:kinsoku/>
        <w:wordWrap/>
        <w:overflowPunct/>
        <w:topLinePunct w:val="0"/>
        <w:bidi w:val="0"/>
        <w:snapToGrid/>
        <w:spacing w:line="520" w:lineRule="exact"/>
        <w:ind w:firstLine="627" w:firstLineChars="196"/>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如对本行政处罚决定不服，可于收到本决定书之日起六十日内向</w:t>
      </w:r>
      <w:r>
        <w:rPr>
          <w:rFonts w:hint="eastAsia" w:ascii="仿宋_GB2312" w:hAnsi="仿宋_GB2312" w:eastAsia="仿宋_GB2312" w:cs="仿宋_GB2312"/>
          <w:sz w:val="32"/>
          <w:szCs w:val="32"/>
          <w:lang w:eastAsia="zh-CN"/>
        </w:rPr>
        <w:t>泉州市丰泽区</w:t>
      </w:r>
      <w:r>
        <w:rPr>
          <w:rFonts w:hint="eastAsia" w:ascii="仿宋_GB2312" w:hAnsi="仿宋_GB2312" w:eastAsia="仿宋_GB2312" w:cs="仿宋_GB2312"/>
          <w:sz w:val="32"/>
          <w:szCs w:val="32"/>
        </w:rPr>
        <w:t>人民政府申请复议，也可以于六个月内依法</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eastAsia="zh-CN"/>
        </w:rPr>
        <w:t>鲤城区</w:t>
      </w:r>
      <w:r>
        <w:rPr>
          <w:rFonts w:hint="eastAsia" w:ascii="仿宋_GB2312" w:hAnsi="仿宋_GB2312" w:eastAsia="仿宋_GB2312" w:cs="仿宋_GB2312"/>
          <w:sz w:val="32"/>
          <w:szCs w:val="32"/>
          <w:highlight w:val="none"/>
        </w:rPr>
        <w:t>人民</w:t>
      </w:r>
      <w:r>
        <w:rPr>
          <w:rFonts w:hint="eastAsia" w:ascii="仿宋_GB2312" w:hAnsi="仿宋_GB2312" w:eastAsia="仿宋_GB2312" w:cs="仿宋_GB2312"/>
          <w:sz w:val="32"/>
          <w:szCs w:val="32"/>
        </w:rPr>
        <w:t>法院提起行政诉讼。前述期</w:t>
      </w:r>
      <w:r>
        <w:rPr>
          <w:rFonts w:hint="eastAsia" w:ascii="仿宋_GB2312" w:hAnsi="仿宋_GB2312" w:eastAsia="仿宋_GB2312" w:cs="仿宋_GB2312"/>
          <w:kern w:val="1"/>
          <w:sz w:val="32"/>
          <w:szCs w:val="32"/>
        </w:rPr>
        <w:t>间，本行政处罚不停止执行。</w:t>
      </w:r>
    </w:p>
    <w:p>
      <w:pPr>
        <w:keepNext w:val="0"/>
        <w:keepLines w:val="0"/>
        <w:pageBreakBefore w:val="0"/>
        <w:widowControl/>
        <w:kinsoku/>
        <w:wordWrap/>
        <w:overflowPunct/>
        <w:topLinePunct w:val="0"/>
        <w:bidi w:val="0"/>
        <w:snapToGrid w:val="0"/>
        <w:spacing w:line="52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20" w:lineRule="exact"/>
        <w:ind w:firstLine="6240" w:firstLineChars="195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20" w:lineRule="exact"/>
        <w:ind w:right="64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
          <w:color w:val="000000"/>
          <w:sz w:val="32"/>
          <w:szCs w:val="32"/>
          <w:u w:val="none"/>
          <w:lang w:eastAsia="zh-CN"/>
        </w:rPr>
        <w:t>泉州市丰泽区</w:t>
      </w:r>
      <w:r>
        <w:rPr>
          <w:rFonts w:hint="eastAsia" w:ascii="Times New Roman" w:hAnsi="Times New Roman" w:eastAsia="仿宋_GB2312" w:cs="仿宋"/>
          <w:color w:val="000000"/>
          <w:sz w:val="32"/>
          <w:szCs w:val="32"/>
        </w:rPr>
        <w:t xml:space="preserve">市场监督管理局 </w:t>
      </w:r>
    </w:p>
    <w:p>
      <w:pPr>
        <w:keepNext w:val="0"/>
        <w:keepLines w:val="0"/>
        <w:pageBreakBefore w:val="0"/>
        <w:kinsoku/>
        <w:wordWrap/>
        <w:overflowPunct/>
        <w:topLinePunct w:val="0"/>
        <w:bidi w:val="0"/>
        <w:spacing w:line="520" w:lineRule="exact"/>
        <w:ind w:right="640" w:firstLine="601"/>
        <w:jc w:val="center"/>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lang w:eastAsia="zh-CN"/>
        </w:rPr>
        <w:t>（印</w: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lang w:eastAsia="zh-CN"/>
        </w:rPr>
        <w:t>章）</w:t>
      </w:r>
      <w:r>
        <w:rPr>
          <w:rFonts w:hint="eastAsia" w:ascii="Times New Roman" w:hAnsi="Times New Roman" w:eastAsia="仿宋_GB2312" w:cs="仿宋"/>
          <w:color w:val="000000"/>
          <w:sz w:val="32"/>
          <w:szCs w:val="32"/>
        </w:rPr>
        <w:t xml:space="preserve">   </w:t>
      </w:r>
    </w:p>
    <w:p>
      <w:pPr>
        <w:keepNext w:val="0"/>
        <w:keepLines w:val="0"/>
        <w:pageBreakBefore w:val="0"/>
        <w:kinsoku/>
        <w:wordWrap/>
        <w:overflowPunct/>
        <w:topLinePunct w:val="0"/>
        <w:bidi w:val="0"/>
        <w:spacing w:line="520" w:lineRule="exact"/>
        <w:ind w:right="1280" w:firstLine="600"/>
        <w:jc w:val="right"/>
        <w:textAlignment w:val="auto"/>
        <w:rPr>
          <w:rFonts w:ascii="仿宋_GB2312" w:hAnsi="Times New Roman" w:eastAsia="仿宋_GB2312" w:cs="仿宋"/>
          <w:color w:val="000000"/>
          <w:sz w:val="32"/>
          <w:szCs w:val="32"/>
          <w:highlight w:val="none"/>
        </w:rPr>
      </w:pPr>
      <w:r>
        <w:rPr>
          <w:rFonts w:hint="eastAsia" w:ascii="仿宋_GB2312" w:hAnsi="Times New Roman" w:eastAsia="仿宋_GB2312" w:cs="仿宋"/>
          <w:color w:val="000000"/>
          <w:sz w:val="32"/>
          <w:szCs w:val="32"/>
          <w:highlight w:val="none"/>
          <w:lang w:val="en-US" w:eastAsia="zh-CN"/>
        </w:rPr>
        <w:t>2025</w:t>
      </w:r>
      <w:r>
        <w:rPr>
          <w:rFonts w:hint="eastAsia" w:ascii="仿宋_GB2312" w:hAnsi="Times New Roman" w:eastAsia="仿宋_GB2312" w:cs="仿宋"/>
          <w:color w:val="000000"/>
          <w:sz w:val="32"/>
          <w:szCs w:val="32"/>
          <w:highlight w:val="none"/>
        </w:rPr>
        <w:t>年</w:t>
      </w:r>
      <w:r>
        <w:rPr>
          <w:rFonts w:hint="eastAsia" w:ascii="仿宋_GB2312" w:hAnsi="Times New Roman" w:eastAsia="仿宋_GB2312" w:cs="仿宋"/>
          <w:color w:val="000000"/>
          <w:sz w:val="32"/>
          <w:szCs w:val="32"/>
          <w:highlight w:val="none"/>
          <w:lang w:val="en-US" w:eastAsia="zh-CN"/>
        </w:rPr>
        <w:t>12</w:t>
      </w:r>
      <w:r>
        <w:rPr>
          <w:rFonts w:hint="eastAsia" w:ascii="仿宋_GB2312" w:hAnsi="Times New Roman" w:eastAsia="仿宋_GB2312" w:cs="仿宋"/>
          <w:color w:val="000000"/>
          <w:sz w:val="32"/>
          <w:szCs w:val="32"/>
          <w:highlight w:val="none"/>
        </w:rPr>
        <w:t>月</w:t>
      </w:r>
      <w:r>
        <w:rPr>
          <w:rFonts w:hint="eastAsia" w:ascii="仿宋_GB2312" w:hAnsi="Times New Roman" w:eastAsia="仿宋_GB2312" w:cs="仿宋"/>
          <w:color w:val="000000"/>
          <w:sz w:val="32"/>
          <w:szCs w:val="32"/>
          <w:highlight w:val="none"/>
          <w:lang w:val="en-US" w:eastAsia="zh-CN"/>
        </w:rPr>
        <w:t>23</w:t>
      </w:r>
      <w:r>
        <w:rPr>
          <w:rFonts w:hint="eastAsia" w:ascii="仿宋_GB2312" w:hAnsi="Times New Roman" w:eastAsia="仿宋_GB2312" w:cs="仿宋"/>
          <w:color w:val="000000"/>
          <w:sz w:val="32"/>
          <w:szCs w:val="32"/>
          <w:highlight w:val="none"/>
        </w:rPr>
        <w:t xml:space="preserve">日    </w:t>
      </w:r>
    </w:p>
    <w:p>
      <w:pPr>
        <w:keepNext w:val="0"/>
        <w:keepLines w:val="0"/>
        <w:pageBreakBefore w:val="0"/>
        <w:widowControl/>
        <w:kinsoku/>
        <w:wordWrap/>
        <w:overflowPunct/>
        <w:topLinePunct w:val="0"/>
        <w:bidi w:val="0"/>
        <w:snapToGrid w:val="0"/>
        <w:spacing w:line="520" w:lineRule="exact"/>
        <w:ind w:right="640"/>
        <w:jc w:val="both"/>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overflowPunct/>
        <w:topLinePunct w:val="0"/>
        <w:bidi w:val="0"/>
        <w:snapToGrid w:val="0"/>
        <w:spacing w:line="520" w:lineRule="exact"/>
        <w:ind w:right="640"/>
        <w:jc w:val="both"/>
        <w:textAlignment w:val="auto"/>
        <w:rPr>
          <w:rFonts w:hint="eastAsia" w:ascii="Times New Roman" w:hAnsi="Times New Roman" w:eastAsia="仿宋_GB2312" w:cs="仿宋_GB2312"/>
          <w:color w:val="000000"/>
          <w:sz w:val="32"/>
          <w:szCs w:val="32"/>
        </w:rPr>
      </w:pPr>
    </w:p>
    <w:p>
      <w:pPr>
        <w:pStyle w:val="2"/>
        <w:rPr>
          <w:rFonts w:hint="eastAsia" w:ascii="Times New Roman" w:hAnsi="Times New Roman" w:eastAsia="仿宋_GB2312" w:cs="仿宋_GB2312"/>
          <w:color w:val="000000"/>
          <w:sz w:val="32"/>
          <w:szCs w:val="32"/>
        </w:rPr>
      </w:pPr>
    </w:p>
    <w:p>
      <w:pPr>
        <w:rPr>
          <w:rFonts w:hint="eastAsia"/>
        </w:rPr>
      </w:pPr>
    </w:p>
    <w:p>
      <w:pPr>
        <w:keepNext w:val="0"/>
        <w:keepLines w:val="0"/>
        <w:pageBreakBefore w:val="0"/>
        <w:widowControl/>
        <w:kinsoku/>
        <w:wordWrap/>
        <w:overflowPunct/>
        <w:topLinePunct w:val="0"/>
        <w:bidi w:val="0"/>
        <w:snapToGrid w:val="0"/>
        <w:spacing w:line="520" w:lineRule="exact"/>
        <w:ind w:right="64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仿宋_GB2312"/>
          <w:color w:val="000000"/>
          <w:sz w:val="32"/>
          <w:szCs w:val="32"/>
        </w:rPr>
        <w:t xml:space="preserve">      </w:t>
      </w:r>
    </w:p>
    <w:p>
      <w:pPr>
        <w:pStyle w:val="4"/>
        <w:keepNext w:val="0"/>
        <w:keepLines w:val="0"/>
        <w:pageBreakBefore w:val="0"/>
        <w:kinsoku/>
        <w:wordWrap/>
        <w:overflowPunct/>
        <w:topLinePunct w:val="0"/>
        <w:bidi w:val="0"/>
        <w:spacing w:before="1" w:beforeLines="0" w:line="520" w:lineRule="exact"/>
        <w:ind w:left="163"/>
        <w:textAlignment w:val="auto"/>
        <w:rPr>
          <w:rFonts w:ascii="黑体" w:hAnsi="黑体" w:eastAsia="黑体"/>
          <w:spacing w:val="-16"/>
        </w:rPr>
      </w:pPr>
      <w:r>
        <w:rPr>
          <w:rFonts w:hint="eastAsia" w:ascii="黑体" w:hAnsi="黑体" w:eastAsia="黑体"/>
          <w:color w:val="231F20"/>
          <w:spacing w:val="-16"/>
        </w:rPr>
        <w:t>（市场监督管理部门将依法向社会公开行政处罚决定信息）</w:t>
      </w:r>
    </w:p>
    <w:p>
      <w:pPr>
        <w:spacing w:line="500" w:lineRule="exact"/>
        <w:rPr>
          <w:u w:val="none"/>
        </w:rPr>
      </w:pPr>
      <w:r>
        <w:rPr>
          <w:rFonts w:ascii="Times New Roman" w:hAnsi="Times New Roman" w:eastAsia="仿宋_GB2312"/>
          <w:sz w:val="32"/>
          <w:u w:val="none"/>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qdBoa1AAAAAQBAAAPAAAAAAAAAAEAIAAAADgAAABk&#10;cnMvZG93bnJldi54bWxQSwECFAAUAAAACACHTuJAtRf5+fQBAADnAwAADgAAAAAAAAABACAAAAA5&#10;AQAAZHJzL2Uyb0RvYy54bWxQSwUGAAAAAAYABgBZAQAAnw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zkdcAAAAKAQAADwAAAAAAAAABACAA&#10;AAA4AAAAZHJzL2Rvd25yZXYueG1sUEsBAhQAFAAAAAgAh07iQI3HDV34AQAA5QMAAA4AAAAAAAAA&#10;AQAgAAAAPAEAAGRycy9lMm9Eb2MueG1sUEsFBgAAAAAGAAYAWQEAAKY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val="en-US" w:eastAsia="zh-CN"/>
        </w:rPr>
        <w:t>一份留存</w: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altName w:val="汉仪叶叶相思体简"/>
    <w:panose1 w:val="03000500000000000000"/>
    <w:charset w:val="00"/>
    <w:family w:val="script"/>
    <w:pitch w:val="default"/>
    <w:sig w:usb0="00000000" w:usb1="00000000" w:usb2="0002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OTc4NDFjMDc5NTMyYzM5NzVhN2FlMmJkNzcxYjQifQ=="/>
  </w:docVars>
  <w:rsids>
    <w:rsidRoot w:val="00172A27"/>
    <w:rsid w:val="00003CF9"/>
    <w:rsid w:val="06BF332F"/>
    <w:rsid w:val="08157432"/>
    <w:rsid w:val="0C3721AC"/>
    <w:rsid w:val="0CC76D85"/>
    <w:rsid w:val="10B36ECA"/>
    <w:rsid w:val="1B990D0E"/>
    <w:rsid w:val="1C4E0201"/>
    <w:rsid w:val="2B887E0D"/>
    <w:rsid w:val="2F906EB2"/>
    <w:rsid w:val="33321DC5"/>
    <w:rsid w:val="40104751"/>
    <w:rsid w:val="409061F3"/>
    <w:rsid w:val="424E1B1B"/>
    <w:rsid w:val="449A2CFC"/>
    <w:rsid w:val="44A05E5E"/>
    <w:rsid w:val="45EF7078"/>
    <w:rsid w:val="478073CB"/>
    <w:rsid w:val="4D166AC2"/>
    <w:rsid w:val="4D4A45F7"/>
    <w:rsid w:val="4F301F0E"/>
    <w:rsid w:val="50D43629"/>
    <w:rsid w:val="541D74A6"/>
    <w:rsid w:val="58EA2EDB"/>
    <w:rsid w:val="5AE57326"/>
    <w:rsid w:val="5D3E23E6"/>
    <w:rsid w:val="5F7337C7"/>
    <w:rsid w:val="62F94031"/>
    <w:rsid w:val="63C811DC"/>
    <w:rsid w:val="6412237F"/>
    <w:rsid w:val="65061611"/>
    <w:rsid w:val="652E1513"/>
    <w:rsid w:val="659650CB"/>
    <w:rsid w:val="66B772E6"/>
    <w:rsid w:val="67590D59"/>
    <w:rsid w:val="686858C1"/>
    <w:rsid w:val="6A34742D"/>
    <w:rsid w:val="6FDEAE34"/>
    <w:rsid w:val="727ABB87"/>
    <w:rsid w:val="72FC3CBB"/>
    <w:rsid w:val="7FFF8BDA"/>
    <w:rsid w:val="EFFFD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420" w:leftChars="200"/>
    </w:pPr>
  </w:style>
  <w:style w:type="paragraph" w:styleId="3">
    <w:name w:val="index 6"/>
    <w:basedOn w:val="1"/>
    <w:next w:val="1"/>
    <w:qFormat/>
    <w:uiPriority w:val="99"/>
    <w:pPr>
      <w:ind w:left="2100"/>
    </w:p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1374</Words>
  <Characters>1442</Characters>
  <Lines>0</Lines>
  <Paragraphs>0</Paragraphs>
  <TotalTime>3</TotalTime>
  <ScaleCrop>false</ScaleCrop>
  <LinksUpToDate>false</LinksUpToDate>
  <CharactersWithSpaces>1633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2021-07-25T13:03:00Z</dcterms:created>
  <dc:creator>lenovo</dc:creator>
  <cp:lastModifiedBy>user</cp:lastModifiedBy>
  <dcterms:modified xsi:type="dcterms:W3CDTF">2025-12-25T14:26:26Z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D5854553C1E4406DA4ED8A378B98C480_13</vt:lpwstr>
  </property>
  <property fmtid="{D5CDD505-2E9C-101B-9397-08002B2CF9AE}" pid="4" name="KSOTemplateDocerSaveRecord">
    <vt:lpwstr>eyJoZGlkIjoiM2ZlZjFhYTNiNWU0MTQ1ZDM1MDZhMzdhMTE0ODQ0ZWIiLCJ1c2VySWQiOiI1NjQzMTEzMTEifQ==</vt:lpwstr>
  </property>
</Properties>
</file>