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color w:val="000000"/>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color w:val="00000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700" w:firstLineChars="1900"/>
        <w:jc w:val="left"/>
        <w:textAlignment w:val="auto"/>
        <w:rPr>
          <w:rFonts w:hint="eastAsia" w:ascii="Times New Roman" w:hAnsi="Times New Roman"/>
          <w:color w:val="000000"/>
          <w:sz w:val="30"/>
          <w:szCs w:val="30"/>
        </w:rPr>
      </w:pPr>
      <w:r>
        <w:rPr>
          <w:rFonts w:hint="eastAsia" w:ascii="Times New Roman" w:hAnsi="Times New Roman"/>
          <w:color w:val="000000"/>
          <w:sz w:val="30"/>
          <w:szCs w:val="30"/>
          <w:lang w:eastAsia="zh-CN"/>
        </w:rPr>
        <w:t>泉丰金</w:t>
      </w:r>
      <w:r>
        <w:rPr>
          <w:rFonts w:hint="eastAsia" w:ascii="Times New Roman" w:hAnsi="Times New Roman"/>
          <w:color w:val="000000"/>
          <w:sz w:val="30"/>
          <w:szCs w:val="30"/>
        </w:rPr>
        <w:t>函〔202</w:t>
      </w:r>
      <w:r>
        <w:rPr>
          <w:rFonts w:hint="eastAsia"/>
          <w:color w:val="000000"/>
          <w:sz w:val="30"/>
          <w:szCs w:val="30"/>
          <w:lang w:val="en-US" w:eastAsia="zh-CN"/>
        </w:rPr>
        <w:t>3</w:t>
      </w:r>
      <w:r>
        <w:rPr>
          <w:rFonts w:hint="eastAsia" w:ascii="Times New Roman" w:hAnsi="Times New Roman"/>
          <w:color w:val="000000"/>
          <w:sz w:val="30"/>
          <w:szCs w:val="30"/>
        </w:rPr>
        <w:t>〕</w:t>
      </w:r>
      <w:r>
        <w:rPr>
          <w:rFonts w:hint="eastAsia"/>
          <w:color w:val="000000"/>
          <w:sz w:val="30"/>
          <w:szCs w:val="30"/>
          <w:lang w:val="en-US" w:eastAsia="zh-CN"/>
        </w:rPr>
        <w:t>19</w:t>
      </w:r>
      <w:r>
        <w:rPr>
          <w:rFonts w:hint="eastAsia" w:ascii="Times New Roman" w:hAnsi="Times New Roman"/>
          <w:color w:val="000000"/>
          <w:sz w:val="30"/>
          <w:szCs w:val="30"/>
        </w:rPr>
        <w:t>号</w:t>
      </w:r>
    </w:p>
    <w:p>
      <w:pPr>
        <w:keepNext w:val="0"/>
        <w:keepLines w:val="0"/>
        <w:pageBreakBefore w:val="0"/>
        <w:widowControl w:val="0"/>
        <w:kinsoku/>
        <w:wordWrap/>
        <w:overflowPunct/>
        <w:topLinePunct w:val="0"/>
        <w:autoSpaceDE/>
        <w:autoSpaceDN/>
        <w:bidi w:val="0"/>
        <w:adjustRightInd/>
        <w:snapToGrid/>
        <w:spacing w:line="560" w:lineRule="exact"/>
        <w:ind w:firstLine="6300" w:firstLineChars="2100"/>
        <w:jc w:val="left"/>
        <w:textAlignment w:val="auto"/>
        <w:rPr>
          <w:rFonts w:hint="eastAsia" w:ascii="Times New Roman" w:hAnsi="Times New Roman"/>
          <w:color w:val="000000"/>
          <w:sz w:val="30"/>
          <w:szCs w:val="30"/>
        </w:rPr>
      </w:pPr>
      <w:r>
        <w:rPr>
          <w:rFonts w:hint="eastAsia" w:ascii="Times New Roman" w:hAnsi="Times New Roman"/>
          <w:color w:val="000000"/>
          <w:sz w:val="30"/>
          <w:szCs w:val="30"/>
        </w:rPr>
        <w:t>答复类别：</w:t>
      </w:r>
      <w:r>
        <w:rPr>
          <w:rFonts w:hint="eastAsia" w:ascii="Times New Roman" w:hAnsi="Times New Roman"/>
          <w:color w:val="000000"/>
          <w:sz w:val="30"/>
          <w:szCs w:val="30"/>
          <w:lang w:val="en-US" w:eastAsia="zh-CN"/>
        </w:rPr>
        <w:t>A</w:t>
      </w:r>
      <w:r>
        <w:rPr>
          <w:rFonts w:hint="eastAsia" w:ascii="Times New Roman" w:hAnsi="Times New Roman"/>
          <w:color w:val="000000"/>
          <w:sz w:val="30"/>
          <w:szCs w:val="30"/>
        </w:rPr>
        <w:t>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关于丰泽区政协六届二次会议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第</w:t>
      </w:r>
      <w:r>
        <w:rPr>
          <w:rFonts w:hint="eastAsia" w:ascii="方正小标宋简体" w:hAnsi="方正小标宋简体" w:eastAsia="方正小标宋简体" w:cs="方正小标宋简体"/>
          <w:bCs/>
          <w:color w:val="000000"/>
          <w:sz w:val="44"/>
          <w:szCs w:val="44"/>
          <w:lang w:val="en-US" w:eastAsia="zh-CN"/>
        </w:rPr>
        <w:t>104</w:t>
      </w:r>
      <w:r>
        <w:rPr>
          <w:rFonts w:hint="eastAsia" w:ascii="方正小标宋简体" w:hAnsi="方正小标宋简体" w:eastAsia="方正小标宋简体" w:cs="方正小标宋简体"/>
          <w:bCs/>
          <w:color w:val="000000"/>
          <w:sz w:val="44"/>
          <w:szCs w:val="44"/>
        </w:rPr>
        <w:t>号提案的答复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Cs/>
          <w:color w:val="000000"/>
          <w:sz w:val="32"/>
          <w:szCs w:val="32"/>
        </w:rPr>
      </w:pPr>
      <w:r>
        <w:rPr>
          <w:rFonts w:hint="eastAsia" w:ascii="仿宋_GB2312" w:hAnsi="仿宋_GB2312" w:cs="仿宋_GB2312"/>
          <w:bCs/>
          <w:color w:val="000000"/>
          <w:sz w:val="32"/>
          <w:szCs w:val="32"/>
          <w:lang w:eastAsia="zh-CN"/>
        </w:rPr>
        <w:t>郑建国</w:t>
      </w:r>
      <w:r>
        <w:rPr>
          <w:rFonts w:hint="eastAsia" w:ascii="仿宋_GB2312" w:hAnsi="仿宋_GB2312" w:eastAsia="仿宋_GB2312" w:cs="仿宋_GB2312"/>
          <w:bCs/>
          <w:color w:val="000000"/>
          <w:sz w:val="32"/>
          <w:szCs w:val="32"/>
        </w:rPr>
        <w:t>委员：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《关于丰泽区金融支持实体经济发展的建议》（第1</w:t>
      </w:r>
      <w:r>
        <w:rPr>
          <w:rFonts w:hint="eastAsia" w:ascii="仿宋_GB2312" w:hAnsi="仿宋_GB2312" w:eastAsia="仿宋_GB2312" w:cs="仿宋_GB2312"/>
          <w:bCs/>
          <w:color w:val="000000"/>
          <w:sz w:val="32"/>
          <w:szCs w:val="32"/>
          <w:lang w:val="en-US" w:eastAsia="zh-CN"/>
        </w:rPr>
        <w:t>04</w:t>
      </w:r>
      <w:r>
        <w:rPr>
          <w:rFonts w:hint="eastAsia" w:ascii="仿宋_GB2312" w:hAnsi="仿宋_GB2312" w:eastAsia="仿宋_GB2312" w:cs="仿宋_GB2312"/>
          <w:bCs/>
          <w:color w:val="000000"/>
          <w:sz w:val="32"/>
          <w:szCs w:val="32"/>
        </w:rPr>
        <w:t>号）收悉。现答复如下：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丰泽区金融局深入学习贯彻党的二十大、中央和省委经济工作会议精神，</w:t>
      </w:r>
      <w:r>
        <w:rPr>
          <w:rFonts w:hint="eastAsia" w:ascii="仿宋_GB2312" w:hAnsi="仿宋_GB2312" w:cs="仿宋_GB2312"/>
          <w:bCs/>
          <w:color w:val="000000"/>
          <w:sz w:val="32"/>
          <w:szCs w:val="32"/>
          <w:lang w:eastAsia="zh-CN"/>
        </w:rPr>
        <w:t>积极</w:t>
      </w:r>
      <w:r>
        <w:rPr>
          <w:rFonts w:hint="eastAsia" w:ascii="仿宋_GB2312" w:hAnsi="仿宋_GB2312" w:eastAsia="仿宋_GB2312" w:cs="仿宋_GB2312"/>
          <w:bCs/>
          <w:color w:val="000000"/>
          <w:sz w:val="32"/>
          <w:szCs w:val="32"/>
        </w:rPr>
        <w:t>落实全市“强产业、兴城市”双轮驱动部署，加快实施区委区政府“5610”专项行动，引导金融机构积极响应国家“向实体经济让利”的号召，围绕“融资对接、协调帮扶、稳贷增贷、纾困降本”目标要求，开展一线走访服务企业活动，多措并举强化企业金融需求保障。</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cs="仿宋_GB2312"/>
          <w:bCs/>
          <w:color w:val="000000"/>
          <w:sz w:val="32"/>
          <w:szCs w:val="32"/>
          <w:lang w:eastAsia="zh-CN"/>
        </w:rPr>
      </w:pPr>
      <w:r>
        <w:rPr>
          <w:rFonts w:hint="eastAsia" w:ascii="仿宋_GB2312" w:hAnsi="仿宋_GB2312" w:cs="仿宋_GB2312"/>
          <w:b/>
          <w:bCs w:val="0"/>
          <w:color w:val="000000"/>
          <w:sz w:val="32"/>
          <w:szCs w:val="32"/>
          <w:lang w:eastAsia="zh-CN"/>
        </w:rPr>
        <w:t>关于建立与属地银行业机构沟通协调机制的建议。</w:t>
      </w:r>
      <w:r>
        <w:rPr>
          <w:rFonts w:hint="eastAsia" w:ascii="仿宋_GB2312" w:hAnsi="仿宋_GB2312" w:cs="仿宋_GB2312"/>
          <w:bCs/>
          <w:color w:val="000000"/>
          <w:sz w:val="32"/>
          <w:szCs w:val="32"/>
          <w:lang w:eastAsia="zh-CN"/>
        </w:rPr>
        <w:t>为进一步加大稳企纾困工作力度，提高金融服务实体经济质效，按照省政府“五不”要求，我区现已建立银行业机构抽贷压贷停贷提前报告制度。银行需建立企业贷款项目清单制，按照属地原则实行分档、分类报告原则，在拟对企业采取抽贷、压贷、停贷前30天内报告。鼓励各金融机构优化审批流程，缩短贷款审批时间，对有市场、有效益且符合产业政策的企业要综合运用过桥续贷资金、新型政银担、“云税贷”等方式解决其融资需求，通过实行利率优惠和费率减免等方式，降低企业融资成本。例如，农商行小微企业贷款年化利率最低降至4.2%，预计每年可为小微企业减轻利息负担约500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cs="仿宋_GB2312"/>
          <w:bCs/>
          <w:color w:val="000000"/>
          <w:sz w:val="32"/>
          <w:szCs w:val="32"/>
          <w:lang w:eastAsia="zh-CN"/>
        </w:rPr>
      </w:pPr>
      <w:r>
        <w:rPr>
          <w:rFonts w:hint="eastAsia" w:ascii="仿宋_GB2312" w:hAnsi="仿宋_GB2312" w:cs="仿宋_GB2312"/>
          <w:b/>
          <w:bCs w:val="0"/>
          <w:color w:val="000000"/>
          <w:sz w:val="32"/>
          <w:szCs w:val="32"/>
          <w:lang w:eastAsia="zh-CN"/>
        </w:rPr>
        <w:t>关于协调金融机构优化供给模式的建议。</w:t>
      </w:r>
      <w:r>
        <w:rPr>
          <w:rFonts w:hint="eastAsia" w:ascii="仿宋_GB2312" w:hAnsi="仿宋_GB2312" w:cs="仿宋_GB2312"/>
          <w:bCs/>
          <w:color w:val="000000"/>
          <w:sz w:val="32"/>
          <w:szCs w:val="32"/>
          <w:lang w:eastAsia="zh-CN"/>
        </w:rPr>
        <w:t>党的二十大报告提出，要加快建设制造强国。制造业企业贷款需求量大、用款周期长。为进一步加大制造业中长期贷款投放、助推制造业高端化、智能化、绿色化发展，各在丰银行机构主动收集制造业企业融资需求，第一时间对接，为制造业企业发展壮大注入金融力量。例如，除贷款利率定价指引对制造业客户有区别于普通贷款客户的利率优惠以外，泉州银行针对制造业贷款客户还推出了专项利率定价，其中一年期以上执行不低于4.5%的年化利率。针对小微企业贷款到期还款资金筹集难、费用高的问题，农商行对信用良好的小微企业客户主动积极开展无还本续贷工作，大大减轻了小微企业利息和各项费用负担。经统计，2022年全年共为43家贷款到期的小微企业进行无还本续贷13682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cs="仿宋_GB2312"/>
          <w:bCs/>
          <w:color w:val="000000"/>
          <w:sz w:val="32"/>
          <w:szCs w:val="32"/>
          <w:lang w:eastAsia="zh-CN"/>
        </w:rPr>
      </w:pPr>
      <w:r>
        <w:rPr>
          <w:rFonts w:hint="eastAsia" w:ascii="仿宋_GB2312" w:hAnsi="仿宋_GB2312" w:cs="仿宋_GB2312"/>
          <w:b/>
          <w:bCs w:val="0"/>
          <w:color w:val="000000"/>
          <w:sz w:val="32"/>
          <w:szCs w:val="32"/>
          <w:lang w:eastAsia="zh-CN"/>
        </w:rPr>
        <w:t>关于协调金融机构积极探索可抵质押产品的建议。</w:t>
      </w:r>
      <w:r>
        <w:rPr>
          <w:rFonts w:hint="eastAsia" w:ascii="仿宋_GB2312" w:hAnsi="仿宋_GB2312" w:cs="仿宋_GB2312"/>
          <w:bCs/>
          <w:color w:val="000000"/>
          <w:sz w:val="32"/>
          <w:szCs w:val="32"/>
          <w:lang w:eastAsia="zh-CN"/>
        </w:rPr>
        <w:t>鼓励商业银行开展信用贷款、知识产权质押贷款、股权质押贷款、预期收益质押贷款、应收账款贷款、商票质押贷款、履约保证保险贷款等融资业务</w:t>
      </w:r>
      <w:r>
        <w:rPr>
          <w:rFonts w:hint="eastAsia" w:ascii="仿宋_GB2312" w:hAnsi="仿宋_GB2312" w:cs="仿宋_GB2312"/>
          <w:bCs/>
          <w:color w:val="000000"/>
          <w:sz w:val="32"/>
          <w:szCs w:val="32"/>
          <w:lang w:val="en-US" w:eastAsia="zh-CN"/>
        </w:rPr>
        <w:t>,</w:t>
      </w:r>
      <w:r>
        <w:rPr>
          <w:rFonts w:hint="eastAsia" w:ascii="仿宋_GB2312" w:hAnsi="仿宋_GB2312" w:cs="仿宋_GB2312"/>
          <w:bCs/>
          <w:color w:val="000000"/>
          <w:sz w:val="32"/>
          <w:szCs w:val="32"/>
          <w:lang w:eastAsia="zh-CN"/>
        </w:rPr>
        <w:t>积极创新提升服务实体经济能力，以金融活水促进创新型企业发展壮大。例如，针对民营企业各个发展阶段，农业银行创新抵押担保方式：对于初创型企业，通过专利权质押等担保方式给予信贷支持;对于成长型企业，通过厂房贷、商标权质押等方式给予信贷支持;对于外向型企业，通过进口押汇、流动资金贷款、国内信用证及结售汇等方式进行支持，为企业发展提供全周期金融助力。</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cs="仿宋_GB2312"/>
          <w:bCs/>
          <w:color w:val="000000"/>
          <w:sz w:val="32"/>
          <w:szCs w:val="32"/>
          <w:lang w:eastAsia="zh-CN"/>
        </w:rPr>
      </w:pPr>
      <w:r>
        <w:rPr>
          <w:rFonts w:hint="eastAsia" w:ascii="仿宋_GB2312" w:hAnsi="仿宋_GB2312" w:cs="仿宋_GB2312"/>
          <w:b/>
          <w:bCs w:val="0"/>
          <w:color w:val="000000"/>
          <w:sz w:val="32"/>
          <w:szCs w:val="32"/>
          <w:lang w:eastAsia="zh-CN"/>
        </w:rPr>
        <w:t>关于协调金融机构充分宣传各类融资产品的建议。</w:t>
      </w:r>
      <w:r>
        <w:rPr>
          <w:rFonts w:hint="eastAsia" w:ascii="仿宋_GB2312" w:hAnsi="仿宋_GB2312" w:cs="仿宋_GB2312"/>
          <w:bCs/>
          <w:color w:val="000000"/>
          <w:sz w:val="32"/>
          <w:szCs w:val="32"/>
          <w:lang w:eastAsia="zh-CN"/>
        </w:rPr>
        <w:t>积极引导中小企业注册“金服云”平台，发布融资需求，了解省提质增产争效专项贷款等惠企金融产品及各级金融政策，争取享受更多政策红利。针对金融服务中小微企业过程中存在的企业求贷无门、银企信息不对称、政策不会用、服务不精准、合力不充分等痛点难点，泉州市地方金融监督管理局牵头拟于今年在中央商务区设立泉州市中小微企业融资促进中心，届时将建成全市首个集企业融资促进、金融政策宣传解读、金融顾问服务、项目路演推介等功能于一体的金融领域“一站式”公共服务平台，充分利用银行、金租、消金、小贷、担保机构等各类机构汇聚及线上金融服务平台金融产品、惠企政策集聚的优势，打造精准性强、贷款速度快、融资成本低、政策配套足的“几家抬”融资促进机制，切实帮助中小企业进“一门”就可得到高效便捷的融资服务。</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cs="仿宋_GB2312"/>
          <w:bCs/>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分管领导：林巧梅</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经办人员：齐璇</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联系电话：22505003</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 xml:space="preserve">                                泉州市丰泽区金融工作局</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 xml:space="preserve">                                    2023年8月2日</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（主动公开）</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tbl>
      <w:tblPr>
        <w:tblStyle w:val="4"/>
        <w:tblpPr w:leftFromText="180" w:rightFromText="180" w:vertAnchor="text" w:horzAnchor="page" w:tblpX="1601" w:tblpY="1866"/>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Borders>
              <w:top w:val="single" w:color="auto" w:sz="4" w:space="0"/>
              <w:left w:val="nil"/>
              <w:bottom w:val="single" w:color="auto" w:sz="4" w:space="0"/>
              <w:right w:val="nil"/>
            </w:tcBorders>
            <w:noWrap w:val="0"/>
            <w:vAlign w:val="top"/>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ascii="Times New Roman" w:hAnsi="Times New Roman"/>
                <w:szCs w:val="32"/>
              </w:rPr>
            </w:pPr>
            <w:r>
              <w:rPr>
                <w:rFonts w:hint="eastAsia" w:ascii="Times New Roman" w:hAnsi="Times New Roman"/>
                <w:sz w:val="28"/>
                <w:szCs w:val="28"/>
              </w:rPr>
              <w:t>抄送</w:t>
            </w:r>
            <w:r>
              <w:rPr>
                <w:rFonts w:hint="eastAsia" w:ascii="Times New Roman" w:hAnsi="Times New Roman"/>
                <w:sz w:val="28"/>
                <w:szCs w:val="28"/>
                <w:lang w:eastAsia="zh-CN"/>
              </w:rPr>
              <w:t>：区政协提案办、</w:t>
            </w:r>
            <w:r>
              <w:rPr>
                <w:rFonts w:hint="eastAsia" w:ascii="Times New Roman" w:hAnsi="Times New Roman"/>
                <w:sz w:val="28"/>
                <w:szCs w:val="28"/>
              </w:rPr>
              <w:t>区政府督查室。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Borders>
              <w:top w:val="single" w:color="auto" w:sz="4" w:space="0"/>
              <w:left w:val="nil"/>
              <w:bottom w:val="single" w:color="auto" w:sz="4" w:space="0"/>
              <w:right w:val="nil"/>
            </w:tcBorders>
            <w:noWrap w:val="0"/>
            <w:vAlign w:val="top"/>
          </w:tcPr>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sz w:val="28"/>
                <w:szCs w:val="28"/>
                <w:lang w:val="en-US" w:eastAsia="zh-CN"/>
              </w:rPr>
            </w:pPr>
            <w:r>
              <w:rPr>
                <w:rFonts w:hint="eastAsia" w:ascii="Times New Roman" w:hAnsi="Times New Roman"/>
                <w:sz w:val="28"/>
                <w:szCs w:val="28"/>
                <w:lang w:eastAsia="zh-CN"/>
              </w:rPr>
              <w:t>泉州市丰泽区金融工作局办公室</w:t>
            </w:r>
            <w:r>
              <w:rPr>
                <w:rFonts w:hint="eastAsia" w:ascii="Times New Roman" w:hAnsi="Times New Roman"/>
                <w:sz w:val="28"/>
                <w:szCs w:val="28"/>
                <w:lang w:val="en-US" w:eastAsia="zh-CN"/>
              </w:rPr>
              <w:t xml:space="preserve">                2023年8月</w:t>
            </w:r>
            <w:r>
              <w:rPr>
                <w:rFonts w:hint="eastAsia"/>
                <w:sz w:val="28"/>
                <w:szCs w:val="28"/>
                <w:lang w:val="en-US" w:eastAsia="zh-CN"/>
              </w:rPr>
              <w:t>2</w:t>
            </w:r>
            <w:r>
              <w:rPr>
                <w:rFonts w:hint="eastAsia" w:ascii="Times New Roman" w:hAnsi="Times New Roman"/>
                <w:sz w:val="28"/>
                <w:szCs w:val="28"/>
                <w:lang w:val="en-US" w:eastAsia="zh-CN"/>
              </w:rPr>
              <w:t>日</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Cs/>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_GB2312" w:hAnsi="仿宋_GB2312" w:eastAsia="仿宋_GB2312" w:cs="仿宋_GB2312"/>
          <w:bCs/>
          <w:color w:val="000000"/>
          <w:kern w:val="2"/>
          <w:sz w:val="32"/>
          <w:szCs w:val="32"/>
          <w:lang w:val="en-US" w:eastAsia="zh-CN" w:bidi="ar-SA"/>
        </w:rPr>
      </w:pPr>
    </w:p>
    <w:sectPr>
      <w:pgSz w:w="11906" w:h="16838"/>
      <w:pgMar w:top="1871" w:right="1531" w:bottom="192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B831E2"/>
    <w:multiLevelType w:val="singleLevel"/>
    <w:tmpl w:val="75B831E2"/>
    <w:lvl w:ilvl="0" w:tentative="0">
      <w:start w:val="1"/>
      <w:numFmt w:val="chineseCounting"/>
      <w:suff w:val="nothing"/>
      <w:lvlText w:val="%1、"/>
      <w:lvlJc w:val="left"/>
      <w:rPr>
        <w:rFonts w:hint="eastAsia" w:ascii="仿宋_GB2312" w:hAnsi="仿宋_GB2312" w:eastAsia="仿宋_GB2312" w:cs="仿宋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OTIxY2RiNTFiNzRlZjRhMGJkNTZjMWM5OGRmNWMifQ=="/>
  </w:docVars>
  <w:rsids>
    <w:rsidRoot w:val="65A92067"/>
    <w:rsid w:val="09D433A9"/>
    <w:rsid w:val="115F636A"/>
    <w:rsid w:val="20E81290"/>
    <w:rsid w:val="215F5415"/>
    <w:rsid w:val="3D4272B7"/>
    <w:rsid w:val="414D154E"/>
    <w:rsid w:val="436F39FE"/>
    <w:rsid w:val="5B052138"/>
    <w:rsid w:val="63E03229"/>
    <w:rsid w:val="65A92067"/>
    <w:rsid w:val="699B2E5F"/>
    <w:rsid w:val="79FA77BE"/>
    <w:rsid w:val="7CBE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left="0" w:leftChars="0"/>
    </w:pPr>
    <w:rPr>
      <w:rFonts w:ascii="Calibri" w:hAnsi="Calibri" w:eastAsia="宋体"/>
      <w:sz w:val="28"/>
    </w:rPr>
  </w:style>
  <w:style w:type="paragraph" w:styleId="3">
    <w:name w:val="Body Text Indent"/>
    <w:basedOn w:val="1"/>
    <w:qFormat/>
    <w:uiPriority w:val="0"/>
    <w:pPr>
      <w:ind w:firstLine="585"/>
    </w:pPr>
    <w:rPr>
      <w:rFonts w:ascii="仿宋_GB2312" w:hAnsi="Times New Roman" w:eastAsia="宋体" w:cs="Times New Roma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2023-07-31T01:13:00Z</dcterms:created>
  <dc:creator>Administrator</dc:creator>
  <cp:lastModifiedBy>Administrator</cp:lastModifiedBy>
  <cp:lastPrinted>2023-08-03T09:29:25Z</cp:lastPrinted>
  <dcterms:modified xsi:type="dcterms:W3CDTF">2023-08-03T09:32:14Z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502D0F27A5D24987B0E8080A6EEE6116_11</vt:lpwstr>
  </property>
</Properties>
</file>