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AC7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shd w:val="clear" w:color="auto" w:fill="auto"/>
          <w:lang w:val="en-US" w:eastAsia="zh-CN"/>
        </w:rPr>
        <w:t>附件1</w:t>
      </w:r>
    </w:p>
    <w:p w14:paraId="6269C9DC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E4E55C2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泉州数字经济产业园产业服务合同</w:t>
      </w:r>
      <w:bookmarkEnd w:id="0"/>
    </w:p>
    <w:p w14:paraId="08BFE009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EC8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甲方（委托方）：</w:t>
      </w:r>
    </w:p>
    <w:p w14:paraId="0F8DD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乙方（受托方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69D31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800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鉴于甲乙双方本着平等互利、优势互补的原则，依据《中华人民共和国民法典》及相关法律法规，就泉州数字经济产业园（以下简称“园区”）产业服务及委托招商事宜协商一致，特订立本合同。</w:t>
      </w:r>
    </w:p>
    <w:p w14:paraId="2A13E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一、服务</w:t>
      </w:r>
      <w:r>
        <w:rPr>
          <w:rFonts w:hint="eastAsia" w:ascii="黑体" w:hAnsi="黑体" w:eastAsia="黑体" w:cs="黑体"/>
          <w:sz w:val="32"/>
          <w:szCs w:val="32"/>
        </w:rPr>
        <w:t>范围</w:t>
      </w:r>
    </w:p>
    <w:p w14:paraId="51D72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甲方委托乙方为园区一期、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二期</w:t>
      </w:r>
      <w:r>
        <w:rPr>
          <w:rFonts w:hint="eastAsia" w:ascii="仿宋_GB2312" w:hAnsi="仿宋_GB2312" w:eastAsia="仿宋_GB2312" w:cs="仿宋_GB2312"/>
          <w:sz w:val="32"/>
          <w:szCs w:val="32"/>
        </w:rPr>
        <w:t>范围内可对外出租的产业空间提供产业招商服务。</w:t>
      </w:r>
    </w:p>
    <w:p w14:paraId="0FA00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二、服务</w:t>
      </w:r>
      <w:r>
        <w:rPr>
          <w:rFonts w:hint="eastAsia" w:ascii="黑体" w:hAnsi="黑体" w:eastAsia="黑体" w:cs="黑体"/>
          <w:sz w:val="32"/>
          <w:szCs w:val="32"/>
        </w:rPr>
        <w:t>期限</w:t>
      </w:r>
    </w:p>
    <w:p w14:paraId="52116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958" w:leftChars="304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本合同自签订之日起生效，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期限自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日（共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个月）。</w:t>
      </w:r>
    </w:p>
    <w:p w14:paraId="15DFC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三、乙方职责与义务</w:t>
      </w:r>
    </w:p>
    <w:p w14:paraId="12D4A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1.乙方应积极寻找、筛选并推荐符合园区产业定位的意向入驻企业。</w:t>
      </w:r>
    </w:p>
    <w:p w14:paraId="152CC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乙方每推荐一家意向企业，应通过《项目备案表》的形式向甲方进行书面确认。未经甲方事前确认的企业，甲方有权不予支付奖励。对于同一家企业由不同招商方推荐的，以甲方收到书面报备的时间在先者为准。</w:t>
      </w:r>
    </w:p>
    <w:p w14:paraId="2757F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奖励标准</w:t>
      </w:r>
    </w:p>
    <w:p w14:paraId="23DE9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招商服务奖励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</w:rPr>
        <w:t>“基础奖励+梯度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递增</w:t>
      </w:r>
      <w:r>
        <w:rPr>
          <w:rFonts w:hint="eastAsia" w:ascii="仿宋_GB2312" w:hAnsi="仿宋_GB2312" w:eastAsia="仿宋_GB2312" w:cs="仿宋_GB2312"/>
          <w:sz w:val="32"/>
          <w:szCs w:val="32"/>
        </w:rPr>
        <w:t>+额外激励”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构成</w:t>
      </w:r>
      <w:r>
        <w:rPr>
          <w:rFonts w:hint="eastAsia" w:ascii="仿宋_GB2312" w:hAnsi="仿宋_GB2312" w:eastAsia="仿宋_GB2312" w:cs="仿宋_GB2312"/>
          <w:sz w:val="32"/>
          <w:szCs w:val="32"/>
        </w:rPr>
        <w:t>，基础奖励为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“三个月基准租金”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其中：基准租金指甲方与入驻企业签订的租赁合同中约定的月基础租金，不含物业管理费、水电费等任何附加费用。</w:t>
      </w:r>
    </w:p>
    <w:p w14:paraId="60658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具体标准如下表所示：</w:t>
      </w:r>
    </w:p>
    <w:tbl>
      <w:tblPr>
        <w:tblStyle w:val="4"/>
        <w:tblpPr w:leftFromText="180" w:rightFromText="180" w:vertAnchor="text" w:horzAnchor="page" w:tblpX="1522" w:tblpY="70"/>
        <w:tblOverlap w:val="never"/>
        <w:tblW w:w="90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250"/>
        <w:gridCol w:w="1035"/>
        <w:gridCol w:w="1131"/>
        <w:gridCol w:w="1119"/>
        <w:gridCol w:w="2873"/>
      </w:tblGrid>
      <w:tr w14:paraId="5B681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0" w:type="dxa"/>
            <w:vAlign w:val="center"/>
          </w:tcPr>
          <w:p w14:paraId="58B5148F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2250" w:type="dxa"/>
            <w:vAlign w:val="center"/>
          </w:tcPr>
          <w:p w14:paraId="70F38A9B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企业类型</w:t>
            </w:r>
          </w:p>
        </w:tc>
        <w:tc>
          <w:tcPr>
            <w:tcW w:w="1035" w:type="dxa"/>
            <w:vAlign w:val="center"/>
          </w:tcPr>
          <w:p w14:paraId="459A6C21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基础</w:t>
            </w:r>
          </w:p>
          <w:p w14:paraId="6CAEA515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奖励</w:t>
            </w:r>
          </w:p>
        </w:tc>
        <w:tc>
          <w:tcPr>
            <w:tcW w:w="1131" w:type="dxa"/>
            <w:vAlign w:val="center"/>
          </w:tcPr>
          <w:p w14:paraId="7278E1CF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奖励</w:t>
            </w:r>
          </w:p>
          <w:p w14:paraId="6516D12A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系数</w:t>
            </w:r>
          </w:p>
        </w:tc>
        <w:tc>
          <w:tcPr>
            <w:tcW w:w="1119" w:type="dxa"/>
            <w:vAlign w:val="center"/>
          </w:tcPr>
          <w:p w14:paraId="27369371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额外</w:t>
            </w:r>
          </w:p>
          <w:p w14:paraId="0565908A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激励</w:t>
            </w:r>
          </w:p>
        </w:tc>
        <w:tc>
          <w:tcPr>
            <w:tcW w:w="2873" w:type="dxa"/>
            <w:vAlign w:val="center"/>
          </w:tcPr>
          <w:p w14:paraId="7B2FA244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备注</w:t>
            </w:r>
          </w:p>
        </w:tc>
      </w:tr>
      <w:tr w14:paraId="2A613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670" w:type="dxa"/>
            <w:vAlign w:val="center"/>
          </w:tcPr>
          <w:p w14:paraId="0A9A7927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1</w:t>
            </w:r>
          </w:p>
        </w:tc>
        <w:tc>
          <w:tcPr>
            <w:tcW w:w="2250" w:type="dxa"/>
            <w:vAlign w:val="center"/>
          </w:tcPr>
          <w:p w14:paraId="27F66ED2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一般企业</w:t>
            </w:r>
          </w:p>
        </w:tc>
        <w:tc>
          <w:tcPr>
            <w:tcW w:w="1035" w:type="dxa"/>
            <w:vMerge w:val="restart"/>
            <w:vAlign w:val="center"/>
          </w:tcPr>
          <w:p w14:paraId="48E25ECC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三个月</w:t>
            </w:r>
          </w:p>
          <w:p w14:paraId="3DD25ECC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基准租金</w:t>
            </w:r>
          </w:p>
        </w:tc>
        <w:tc>
          <w:tcPr>
            <w:tcW w:w="1131" w:type="dxa"/>
            <w:vAlign w:val="center"/>
          </w:tcPr>
          <w:p w14:paraId="34666D80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1</w:t>
            </w:r>
          </w:p>
        </w:tc>
        <w:tc>
          <w:tcPr>
            <w:tcW w:w="1119" w:type="dxa"/>
            <w:vAlign w:val="center"/>
          </w:tcPr>
          <w:p w14:paraId="0F4E1ECD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/</w:t>
            </w:r>
          </w:p>
        </w:tc>
        <w:tc>
          <w:tcPr>
            <w:tcW w:w="2873" w:type="dxa"/>
            <w:vAlign w:val="center"/>
          </w:tcPr>
          <w:p w14:paraId="72B74BC7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76587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670" w:type="dxa"/>
            <w:vAlign w:val="center"/>
          </w:tcPr>
          <w:p w14:paraId="3CB86E7A">
            <w:pPr>
              <w:keepNext w:val="0"/>
              <w:keepLines w:val="0"/>
              <w:pageBreakBefore w:val="0"/>
              <w:widowControl/>
              <w:tabs>
                <w:tab w:val="left" w:pos="237"/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2</w:t>
            </w:r>
          </w:p>
        </w:tc>
        <w:tc>
          <w:tcPr>
            <w:tcW w:w="2250" w:type="dxa"/>
            <w:vAlign w:val="center"/>
          </w:tcPr>
          <w:p w14:paraId="04A88A20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国家高新技术企业</w:t>
            </w:r>
          </w:p>
        </w:tc>
        <w:tc>
          <w:tcPr>
            <w:tcW w:w="1035" w:type="dxa"/>
            <w:vMerge w:val="continue"/>
            <w:vAlign w:val="center"/>
          </w:tcPr>
          <w:p w14:paraId="3DC3A87D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131" w:type="dxa"/>
            <w:vAlign w:val="center"/>
          </w:tcPr>
          <w:p w14:paraId="5FB56280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1.2</w:t>
            </w:r>
          </w:p>
        </w:tc>
        <w:tc>
          <w:tcPr>
            <w:tcW w:w="1119" w:type="dxa"/>
            <w:vAlign w:val="center"/>
          </w:tcPr>
          <w:p w14:paraId="371EB8CF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/</w:t>
            </w:r>
          </w:p>
        </w:tc>
        <w:tc>
          <w:tcPr>
            <w:tcW w:w="2873" w:type="dxa"/>
            <w:vAlign w:val="center"/>
          </w:tcPr>
          <w:p w14:paraId="269417AF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以国家高新技术企业证书或公示文件为准</w:t>
            </w:r>
          </w:p>
        </w:tc>
      </w:tr>
      <w:tr w14:paraId="376D0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670" w:type="dxa"/>
            <w:vAlign w:val="center"/>
          </w:tcPr>
          <w:p w14:paraId="15D82004">
            <w:pPr>
              <w:keepNext w:val="0"/>
              <w:keepLines w:val="0"/>
              <w:pageBreakBefore w:val="0"/>
              <w:widowControl/>
              <w:tabs>
                <w:tab w:val="left" w:pos="267"/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3</w:t>
            </w:r>
          </w:p>
        </w:tc>
        <w:tc>
          <w:tcPr>
            <w:tcW w:w="2250" w:type="dxa"/>
            <w:vAlign w:val="center"/>
          </w:tcPr>
          <w:p w14:paraId="7906F498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省级专精特新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中小</w:t>
            </w:r>
            <w:r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企业</w:t>
            </w:r>
          </w:p>
        </w:tc>
        <w:tc>
          <w:tcPr>
            <w:tcW w:w="1035" w:type="dxa"/>
            <w:vMerge w:val="continue"/>
            <w:vAlign w:val="center"/>
          </w:tcPr>
          <w:p w14:paraId="19A86842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131" w:type="dxa"/>
            <w:vAlign w:val="center"/>
          </w:tcPr>
          <w:p w14:paraId="2B534E8D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1.5</w:t>
            </w:r>
          </w:p>
        </w:tc>
        <w:tc>
          <w:tcPr>
            <w:tcW w:w="1119" w:type="dxa"/>
            <w:vAlign w:val="center"/>
          </w:tcPr>
          <w:p w14:paraId="6BA73174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/</w:t>
            </w:r>
          </w:p>
        </w:tc>
        <w:tc>
          <w:tcPr>
            <w:tcW w:w="2873" w:type="dxa"/>
            <w:vAlign w:val="center"/>
          </w:tcPr>
          <w:p w14:paraId="04A3FD90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以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省级专精特新证书或公示文件为准</w:t>
            </w:r>
          </w:p>
        </w:tc>
      </w:tr>
      <w:tr w14:paraId="7D6D4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0" w:type="dxa"/>
            <w:vAlign w:val="center"/>
          </w:tcPr>
          <w:p w14:paraId="7AA30CC3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4</w:t>
            </w:r>
          </w:p>
        </w:tc>
        <w:tc>
          <w:tcPr>
            <w:tcW w:w="2250" w:type="dxa"/>
            <w:vAlign w:val="center"/>
          </w:tcPr>
          <w:p w14:paraId="4026FAA5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国家级专精特新“小巨人”企业</w:t>
            </w:r>
          </w:p>
        </w:tc>
        <w:tc>
          <w:tcPr>
            <w:tcW w:w="1035" w:type="dxa"/>
            <w:vMerge w:val="continue"/>
            <w:vAlign w:val="center"/>
          </w:tcPr>
          <w:p w14:paraId="0E62514A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131" w:type="dxa"/>
            <w:vAlign w:val="center"/>
          </w:tcPr>
          <w:p w14:paraId="5C6C88A6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1.5</w:t>
            </w:r>
          </w:p>
        </w:tc>
        <w:tc>
          <w:tcPr>
            <w:tcW w:w="1119" w:type="dxa"/>
            <w:vAlign w:val="center"/>
          </w:tcPr>
          <w:p w14:paraId="1B37CA5E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20万元</w:t>
            </w:r>
          </w:p>
        </w:tc>
        <w:tc>
          <w:tcPr>
            <w:tcW w:w="2873" w:type="dxa"/>
            <w:vAlign w:val="center"/>
          </w:tcPr>
          <w:p w14:paraId="408ED10A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以工信部公示名单为准</w:t>
            </w:r>
          </w:p>
        </w:tc>
      </w:tr>
      <w:tr w14:paraId="1D0C8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</w:trPr>
        <w:tc>
          <w:tcPr>
            <w:tcW w:w="670" w:type="dxa"/>
            <w:vAlign w:val="center"/>
          </w:tcPr>
          <w:p w14:paraId="6D70B7E1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5</w:t>
            </w:r>
          </w:p>
        </w:tc>
        <w:tc>
          <w:tcPr>
            <w:tcW w:w="2250" w:type="dxa"/>
            <w:vAlign w:val="center"/>
          </w:tcPr>
          <w:p w14:paraId="0E7EF438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500强企业</w:t>
            </w:r>
          </w:p>
        </w:tc>
        <w:tc>
          <w:tcPr>
            <w:tcW w:w="1035" w:type="dxa"/>
            <w:vMerge w:val="continue"/>
            <w:vAlign w:val="center"/>
          </w:tcPr>
          <w:p w14:paraId="3C80078C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131" w:type="dxa"/>
            <w:vAlign w:val="center"/>
          </w:tcPr>
          <w:p w14:paraId="5779C89A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1.5</w:t>
            </w:r>
          </w:p>
        </w:tc>
        <w:tc>
          <w:tcPr>
            <w:tcW w:w="1119" w:type="dxa"/>
            <w:vAlign w:val="center"/>
          </w:tcPr>
          <w:p w14:paraId="3AA274C5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30万元</w:t>
            </w:r>
          </w:p>
        </w:tc>
        <w:tc>
          <w:tcPr>
            <w:tcW w:w="2873" w:type="dxa"/>
            <w:vAlign w:val="center"/>
          </w:tcPr>
          <w:p w14:paraId="7B1E1140">
            <w:pPr>
              <w:keepNext w:val="0"/>
              <w:keepLines w:val="0"/>
              <w:pageBreakBefore w:val="0"/>
              <w:widowControl/>
              <w:tabs>
                <w:tab w:val="left" w:pos="3353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华文仿宋" w:hAnsi="华文仿宋" w:eastAsia="华文仿宋" w:cs="华文仿宋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  <w:t>包括《财富》世界500强、中国企业500强、中国民营企业500强、中国制造业企业500强榜单内企业及其直接控股的一级子公司</w:t>
            </w:r>
          </w:p>
        </w:tc>
      </w:tr>
    </w:tbl>
    <w:p w14:paraId="00F874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备注：享受额外激励的仅限区外引进企业。</w:t>
      </w:r>
    </w:p>
    <w:p w14:paraId="0C7E9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费用支付方式</w:t>
      </w:r>
    </w:p>
    <w:p w14:paraId="0F8A2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1.首期费用支付。</w:t>
      </w:r>
      <w:r>
        <w:rPr>
          <w:rFonts w:hint="eastAsia" w:ascii="仿宋_GB2312" w:hAnsi="仿宋_GB2312" w:eastAsia="仿宋_GB2312" w:cs="仿宋_GB2312"/>
          <w:sz w:val="32"/>
          <w:szCs w:val="32"/>
        </w:rPr>
        <w:t>入驻企业租赁合同生效，且满足以下全部条件后，乙方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填写《奖励申报表》提交甲方审核，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并提供等额合法有效的增值税专用发票，甲方在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奖励申报表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审核通过后15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个工作日内向乙方支付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基础奖励（含系数）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的50%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269B2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）入</w:t>
      </w:r>
      <w:r>
        <w:rPr>
          <w:rFonts w:hint="eastAsia" w:ascii="仿宋_GB2312" w:hAnsi="仿宋_GB2312" w:eastAsia="仿宋_GB2312" w:cs="仿宋_GB2312"/>
          <w:sz w:val="32"/>
          <w:szCs w:val="32"/>
        </w:rPr>
        <w:t>驻企业已向甲方足额支付履约押金及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首期</w:t>
      </w:r>
      <w:r>
        <w:rPr>
          <w:rFonts w:hint="eastAsia" w:ascii="仿宋_GB2312" w:hAnsi="仿宋_GB2312" w:eastAsia="仿宋_GB2312" w:cs="仿宋_GB2312"/>
          <w:sz w:val="32"/>
          <w:szCs w:val="32"/>
        </w:rPr>
        <w:t>租金；</w:t>
      </w:r>
    </w:p>
    <w:p w14:paraId="7144B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入驻企业已完成工商、税务登记至园区地址，并实际开展业务经营。</w:t>
      </w:r>
    </w:p>
    <w:p w14:paraId="721BE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2.剩余费用及额外激励支付。</w:t>
      </w:r>
      <w:r>
        <w:rPr>
          <w:rFonts w:hint="eastAsia" w:ascii="仿宋_GB2312" w:hAnsi="仿宋_GB2312" w:eastAsia="仿宋_GB2312" w:cs="仿宋_GB2312"/>
          <w:sz w:val="32"/>
          <w:szCs w:val="32"/>
        </w:rPr>
        <w:t>入驻企业持续经营满12个月（指企业持续在租赁地址开展实际经营活动，且工商、税务关系未迁出本园区），且在此期间无任何欠租（含租金、物业费等）、无重大安全隐患且未整改、无受到行政处罚记录、无本合同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条约定的其他重大违约行为，乙方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填写《奖励申报表》提交甲方审核，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并提供等额合法有效的增值税专用发票后15个工作日内，甲方在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奖励申报表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审核通过后</w:t>
      </w:r>
      <w:r>
        <w:rPr>
          <w:rFonts w:hint="eastAsia" w:ascii="仿宋_GB2312" w:hAnsi="仿宋_GB2312" w:eastAsia="仿宋_GB2312" w:cs="仿宋_GB2312"/>
          <w:sz w:val="32"/>
          <w:szCs w:val="32"/>
        </w:rPr>
        <w:t>向乙方支付剩余50%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基础奖励及额外激励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49B4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3.企业依据其在本合同签订时或入驻后12个月内取得的有效资质适用对应的奖励系数。若该资质在甲方支付第一笔或第二笔奖励前失效或被撤销，乙方应立即书面通知甲方。甲方有权采取以下措施：</w:t>
      </w:r>
    </w:p>
    <w:p w14:paraId="285E0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（1）对于尚未支付的奖励，按照失效后的资质重新计算并支付；</w:t>
      </w:r>
    </w:p>
    <w:p w14:paraId="35A72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（2）对于已支付的奖励，有权要求乙方在收到通知后15个工作日内退回因资质等级差异而多获得的奖励部分。</w:t>
      </w:r>
    </w:p>
    <w:p w14:paraId="5FD80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六、违约条款</w:t>
      </w:r>
    </w:p>
    <w:p w14:paraId="0D3AE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若入驻企业存续时间不满12个月，或因入驻企业自身原因（包括但不限于欠租、违规经营、重大安全事故等）导致租赁合同被甲方单方解除的，乙方应在收到甲方书面通知后15个工作日内，按以下标准向甲方返还已支付的招商服务奖励：</w:t>
      </w:r>
    </w:p>
    <w:p w14:paraId="0BE6A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入驻企业实际经营时间不满6个月的，乙方须全额退还甲方已支付的全部奖励资金。</w:t>
      </w:r>
    </w:p>
    <w:p w14:paraId="511CD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default" w:ascii="仿宋_GB2312" w:hAnsi="仿宋_GB2312" w:eastAsia="仿宋_GB2312" w:cs="仿宋_GB2312"/>
          <w:sz w:val="32"/>
          <w:szCs w:val="32"/>
        </w:rPr>
        <w:t>入驻企业实际经营时间满6个月但不满12个月，或虽满12个月但存在本条约定的违约行为的，乙方须退还甲方已支付第一笔奖励的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50%。</w:t>
      </w:r>
    </w:p>
    <w:p w14:paraId="2157C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</w:rPr>
        <w:t>“重大违约记录”或“重大违约行为”，包括但不限于：单次或累计欠租超过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</w:t>
      </w:r>
      <w:r>
        <w:rPr>
          <w:rFonts w:hint="default" w:ascii="仿宋_GB2312" w:hAnsi="仿宋_GB2312" w:eastAsia="仿宋_GB2312" w:cs="仿宋_GB2312"/>
          <w:sz w:val="32"/>
          <w:szCs w:val="32"/>
        </w:rPr>
        <w:t>天、发生导致人员重伤或财产重大损失的安全生产事故、受到市场监督管理局、税务局等主管部门的行政处罚、从事违法经营活动等。</w:t>
      </w:r>
    </w:p>
    <w:p w14:paraId="43904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七、保密条款</w:t>
      </w:r>
    </w:p>
    <w:p w14:paraId="6548F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</w:rPr>
        <w:t>因签订或履行本合同而获知的、以口头、书面、电子或其他形式披露的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</w:rPr>
        <w:t>未公开的信息，包括但不限于：商业计划、客户名单、租金价格体系、招商策略、运营数据、技术资料、财务信息、合同内容以及所有与园区运营相关的非公开信息，均构成本合同项下的保密信息。</w:t>
      </w:r>
    </w:p>
    <w:p w14:paraId="0D0B0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</w:rPr>
        <w:t>在本合同有效期内及合同终止后 三年 内，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双方</w:t>
      </w:r>
      <w:r>
        <w:rPr>
          <w:rFonts w:hint="default" w:ascii="仿宋_GB2312" w:hAnsi="仿宋_GB2312" w:eastAsia="仿宋_GB2312" w:cs="仿宋_GB2312"/>
          <w:sz w:val="32"/>
          <w:szCs w:val="32"/>
        </w:rPr>
        <w:t>对保密信息予以严格保密。除为履行本合同之目的外，不得向任何第三方泄露保密信息，亦不得将保密信息用于本合同约定之外的任何用途。</w:t>
      </w:r>
    </w:p>
    <w:p w14:paraId="7AF36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3.甲乙双方若</w:t>
      </w:r>
      <w:r>
        <w:rPr>
          <w:rFonts w:hint="default" w:ascii="仿宋_GB2312" w:hAnsi="仿宋_GB2312" w:eastAsia="仿宋_GB2312" w:cs="仿宋_GB2312"/>
          <w:sz w:val="32"/>
          <w:szCs w:val="32"/>
        </w:rPr>
        <w:t>违反本条约定，应赔偿因此给披露方造成的全部直接及间接损失（包括但不限于调查费、律师费、诉讼费以及商业机会损失）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</w:rPr>
        <w:t>披露方有权单方解除本合同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F39D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八、其他</w:t>
      </w:r>
    </w:p>
    <w:p w14:paraId="63C69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不可抗力因素</w:t>
      </w:r>
      <w:r>
        <w:rPr>
          <w:rFonts w:hint="eastAsia" w:ascii="仿宋_GB2312" w:hAnsi="仿宋_GB2312" w:eastAsia="仿宋_GB2312" w:cs="仿宋_GB2312"/>
          <w:sz w:val="32"/>
          <w:szCs w:val="32"/>
        </w:rPr>
        <w:t>导致本合同无法继续履行，任何一方均有权提前解除合同，而无须承担违约责任。</w:t>
      </w:r>
    </w:p>
    <w:p w14:paraId="693C7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双方在履约过程中发生争议的，应本着友好的态度协商解决，协商不成的，任何一方可依法向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所在地人民法院提起诉讼。</w:t>
      </w:r>
    </w:p>
    <w:p w14:paraId="1AC8F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本合同及附件一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式贰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双方</w:t>
      </w:r>
      <w:r>
        <w:rPr>
          <w:rFonts w:hint="eastAsia" w:ascii="仿宋_GB2312" w:hAnsi="仿宋_GB2312" w:eastAsia="仿宋_GB2312" w:cs="仿宋_GB2312"/>
          <w:sz w:val="32"/>
          <w:szCs w:val="32"/>
        </w:rPr>
        <w:t>盖章后生效，双方各执壹份，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</w:rPr>
        <w:t>同等法律效力。</w:t>
      </w:r>
    </w:p>
    <w:p w14:paraId="669DA86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以下无正文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28CCB2E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1519" w:bottom="1440" w:left="1519" w:header="851" w:footer="992" w:gutter="0"/>
          <w:cols w:space="425" w:num="1"/>
          <w:docGrid w:type="lines" w:linePitch="312" w:charSpace="0"/>
        </w:sectPr>
      </w:pPr>
    </w:p>
    <w:p w14:paraId="42670EC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6C7DA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186E5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</w:t>
      </w:r>
    </w:p>
    <w:p w14:paraId="5598262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法定代表人：</w:t>
      </w:r>
    </w:p>
    <w:p w14:paraId="19280A3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6D5D97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</w:t>
      </w:r>
    </w:p>
    <w:p w14:paraId="1474CF8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日期：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19E02D7C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B8AE0C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24C0C65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2A80B15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法定代表人：</w:t>
      </w:r>
    </w:p>
    <w:p w14:paraId="5A1B79F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2BA9648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地址：     </w:t>
      </w:r>
    </w:p>
    <w:p w14:paraId="2FD8756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日期：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 w14:paraId="6D5C37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</w:pPr>
    </w:p>
    <w:p w14:paraId="50A4F7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</w:pPr>
    </w:p>
    <w:p w14:paraId="060F56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</w:pPr>
    </w:p>
    <w:p w14:paraId="1128CA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</w:pPr>
    </w:p>
    <w:p w14:paraId="437F4E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85A0A"/>
    <w:rsid w:val="1F88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 0正文 + 首行缩进:  2 字符1"/>
    <w:basedOn w:val="1"/>
    <w:next w:val="2"/>
    <w:qFormat/>
    <w:uiPriority w:val="0"/>
    <w:pPr>
      <w:spacing w:line="360" w:lineRule="auto"/>
      <w:ind w:firstLine="200" w:firstLineChars="200"/>
    </w:pPr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2026-08-11T08:51:00Z</dcterms:created>
  <dc:creator>小新</dc:creator>
  <cp:lastModifiedBy>小新</cp:lastModifiedBy>
  <dcterms:modified xsi:type="dcterms:W3CDTF">2026-08-11T08:52:59Z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808915EC72D7445EA1DEFCF6373D2102_11</vt:lpwstr>
  </property>
  <property fmtid="{D5CDD505-2E9C-101B-9397-08002B2CF9AE}" pid="4" name="KSOTemplateDocerSaveRecord">
    <vt:lpwstr>eyJoZGlkIjoiODU3YzQ2NTcyZDVmZmY4YzYyYTFmODJhMzIwOTljMzgiLCJ1c2VySWQiOiIyNjM0MjUyNDIifQ==</vt:lpwstr>
  </property>
</Properties>
</file>